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A8A1C" w14:textId="77777777" w:rsidR="0006424D" w:rsidRPr="00F21BE8" w:rsidRDefault="00000000" w:rsidP="00515603">
      <w:pPr>
        <w:pStyle w:val="Normal0"/>
        <w:jc w:val="both"/>
        <w:rPr>
          <w:b/>
          <w:bCs/>
          <w:sz w:val="22"/>
          <w:szCs w:val="22"/>
        </w:rPr>
      </w:pPr>
      <w:bookmarkStart w:id="0" w:name="_Aci_Pg3"/>
      <w:bookmarkEnd w:id="0"/>
      <w:r w:rsidRPr="00F21BE8">
        <w:rPr>
          <w:b/>
          <w:bCs/>
          <w:sz w:val="22"/>
          <w:szCs w:val="22"/>
        </w:rPr>
        <w:t xml:space="preserve">THE LGL GROUP REPORTS </w:t>
      </w:r>
      <w:r w:rsidR="005E6047">
        <w:rPr>
          <w:b/>
          <w:bCs/>
          <w:sz w:val="22"/>
          <w:szCs w:val="22"/>
        </w:rPr>
        <w:t>THIRD</w:t>
      </w:r>
      <w:r w:rsidR="00C56245" w:rsidRPr="00F21BE8">
        <w:rPr>
          <w:b/>
          <w:bCs/>
          <w:sz w:val="22"/>
          <w:szCs w:val="22"/>
        </w:rPr>
        <w:t xml:space="preserve"> </w:t>
      </w:r>
      <w:r w:rsidRPr="00F21BE8">
        <w:rPr>
          <w:b/>
          <w:bCs/>
          <w:sz w:val="22"/>
          <w:szCs w:val="22"/>
        </w:rPr>
        <w:t>QUARTER 202</w:t>
      </w:r>
      <w:r w:rsidR="00350183" w:rsidRPr="00F21BE8">
        <w:rPr>
          <w:b/>
          <w:bCs/>
          <w:sz w:val="22"/>
          <w:szCs w:val="22"/>
        </w:rPr>
        <w:t>2</w:t>
      </w:r>
      <w:r w:rsidRPr="00F21BE8">
        <w:rPr>
          <w:b/>
          <w:bCs/>
          <w:sz w:val="22"/>
          <w:szCs w:val="22"/>
        </w:rPr>
        <w:t xml:space="preserve"> RESULTS</w:t>
      </w:r>
      <w:r w:rsidR="00416AC2" w:rsidRPr="00F21BE8">
        <w:rPr>
          <w:b/>
          <w:bCs/>
          <w:sz w:val="22"/>
          <w:szCs w:val="22"/>
        </w:rPr>
        <w:t xml:space="preserve"> </w:t>
      </w:r>
    </w:p>
    <w:p w14:paraId="7F31404A" w14:textId="77777777" w:rsidR="0006424D" w:rsidRPr="00F21BE8" w:rsidRDefault="0006424D" w:rsidP="0006424D">
      <w:pPr>
        <w:pStyle w:val="Normal0"/>
        <w:jc w:val="center"/>
        <w:rPr>
          <w:b/>
          <w:bCs/>
          <w:sz w:val="22"/>
          <w:szCs w:val="22"/>
        </w:rPr>
      </w:pPr>
    </w:p>
    <w:p w14:paraId="1F7C5B49" w14:textId="77777777" w:rsidR="0006424D" w:rsidRPr="005E6047" w:rsidRDefault="00000000" w:rsidP="0006424D">
      <w:pPr>
        <w:pStyle w:val="Normal0"/>
        <w:autoSpaceDE w:val="0"/>
        <w:autoSpaceDN w:val="0"/>
        <w:adjustRightInd w:val="0"/>
        <w:spacing w:after="120"/>
        <w:jc w:val="both"/>
        <w:rPr>
          <w:sz w:val="22"/>
          <w:szCs w:val="22"/>
        </w:rPr>
      </w:pPr>
      <w:r w:rsidRPr="005E6047">
        <w:rPr>
          <w:sz w:val="22"/>
          <w:szCs w:val="22"/>
        </w:rPr>
        <w:t xml:space="preserve">ORLANDO, FL </w:t>
      </w:r>
      <w:r w:rsidR="00F04698" w:rsidRPr="005E6047">
        <w:rPr>
          <w:sz w:val="22"/>
          <w:szCs w:val="22"/>
        </w:rPr>
        <w:t>November</w:t>
      </w:r>
      <w:r w:rsidR="005262C6" w:rsidRPr="005E6047">
        <w:rPr>
          <w:sz w:val="22"/>
          <w:szCs w:val="22"/>
        </w:rPr>
        <w:t xml:space="preserve"> </w:t>
      </w:r>
      <w:r w:rsidR="000172F7">
        <w:rPr>
          <w:sz w:val="22"/>
          <w:szCs w:val="22"/>
        </w:rPr>
        <w:t>1</w:t>
      </w:r>
      <w:r w:rsidR="002D0610">
        <w:rPr>
          <w:sz w:val="22"/>
          <w:szCs w:val="22"/>
        </w:rPr>
        <w:t>4</w:t>
      </w:r>
      <w:r w:rsidRPr="005E6047">
        <w:rPr>
          <w:sz w:val="22"/>
          <w:szCs w:val="22"/>
        </w:rPr>
        <w:t>, 202</w:t>
      </w:r>
      <w:r w:rsidR="00350183" w:rsidRPr="005E6047">
        <w:rPr>
          <w:sz w:val="22"/>
          <w:szCs w:val="22"/>
        </w:rPr>
        <w:t>2</w:t>
      </w:r>
      <w:r w:rsidRPr="005E6047">
        <w:rPr>
          <w:sz w:val="22"/>
          <w:szCs w:val="22"/>
        </w:rPr>
        <w:t xml:space="preserve"> – The LGL Group, Inc. (NYSE</w:t>
      </w:r>
      <w:r w:rsidR="003D722F" w:rsidRPr="005E6047">
        <w:rPr>
          <w:sz w:val="22"/>
          <w:szCs w:val="22"/>
        </w:rPr>
        <w:t xml:space="preserve"> American</w:t>
      </w:r>
      <w:r w:rsidRPr="005E6047">
        <w:rPr>
          <w:sz w:val="22"/>
          <w:szCs w:val="22"/>
        </w:rPr>
        <w:t xml:space="preserve">: LGL) (the “Company” or “LGL”) announced its financial results for the three </w:t>
      </w:r>
      <w:r w:rsidR="005262C6" w:rsidRPr="005E6047">
        <w:rPr>
          <w:sz w:val="22"/>
          <w:szCs w:val="22"/>
        </w:rPr>
        <w:t xml:space="preserve">and </w:t>
      </w:r>
      <w:r w:rsidR="00F04698" w:rsidRPr="005E6047">
        <w:rPr>
          <w:sz w:val="22"/>
          <w:szCs w:val="22"/>
        </w:rPr>
        <w:t>nine</w:t>
      </w:r>
      <w:r w:rsidR="005262C6" w:rsidRPr="005E6047">
        <w:rPr>
          <w:sz w:val="22"/>
          <w:szCs w:val="22"/>
        </w:rPr>
        <w:t xml:space="preserve"> </w:t>
      </w:r>
      <w:r w:rsidR="00350183" w:rsidRPr="005E6047">
        <w:rPr>
          <w:sz w:val="22"/>
          <w:szCs w:val="22"/>
        </w:rPr>
        <w:t>m</w:t>
      </w:r>
      <w:r w:rsidRPr="005E6047">
        <w:rPr>
          <w:sz w:val="22"/>
          <w:szCs w:val="22"/>
        </w:rPr>
        <w:t xml:space="preserve">onths ended </w:t>
      </w:r>
      <w:r w:rsidR="00F04698" w:rsidRPr="005E6047">
        <w:rPr>
          <w:sz w:val="22"/>
          <w:szCs w:val="22"/>
        </w:rPr>
        <w:t>September</w:t>
      </w:r>
      <w:r w:rsidR="005262C6" w:rsidRPr="005E6047">
        <w:rPr>
          <w:sz w:val="22"/>
          <w:szCs w:val="22"/>
        </w:rPr>
        <w:t xml:space="preserve"> 30</w:t>
      </w:r>
      <w:r w:rsidR="00350183" w:rsidRPr="005E6047">
        <w:rPr>
          <w:sz w:val="22"/>
          <w:szCs w:val="22"/>
        </w:rPr>
        <w:t>, 2022</w:t>
      </w:r>
      <w:r w:rsidRPr="005E6047">
        <w:rPr>
          <w:sz w:val="22"/>
          <w:szCs w:val="22"/>
        </w:rPr>
        <w:t>.</w:t>
      </w:r>
    </w:p>
    <w:p w14:paraId="00C6B180" w14:textId="77777777" w:rsidR="0056580D" w:rsidRPr="005E6047" w:rsidRDefault="00000000" w:rsidP="002B2597">
      <w:pPr>
        <w:pStyle w:val="Normal0"/>
        <w:numPr>
          <w:ilvl w:val="0"/>
          <w:numId w:val="1"/>
        </w:numPr>
        <w:autoSpaceDE w:val="0"/>
        <w:autoSpaceDN w:val="0"/>
        <w:adjustRightInd w:val="0"/>
        <w:ind w:left="540" w:hanging="540"/>
        <w:jc w:val="both"/>
        <w:rPr>
          <w:rFonts w:eastAsia="Arial Unicode MS"/>
          <w:sz w:val="22"/>
          <w:szCs w:val="22"/>
        </w:rPr>
      </w:pPr>
      <w:r w:rsidRPr="005E6047">
        <w:rPr>
          <w:rFonts w:eastAsia="Arial Unicode MS"/>
          <w:sz w:val="22"/>
          <w:szCs w:val="22"/>
        </w:rPr>
        <w:t>Revenue of $</w:t>
      </w:r>
      <w:r w:rsidR="00F04698" w:rsidRPr="005E6047">
        <w:rPr>
          <w:rFonts w:eastAsia="Arial Unicode MS"/>
          <w:sz w:val="22"/>
          <w:szCs w:val="22"/>
        </w:rPr>
        <w:t xml:space="preserve">8.8 </w:t>
      </w:r>
      <w:r w:rsidRPr="005E6047">
        <w:rPr>
          <w:rFonts w:eastAsia="Arial Unicode MS"/>
          <w:sz w:val="22"/>
          <w:szCs w:val="22"/>
        </w:rPr>
        <w:t>million</w:t>
      </w:r>
      <w:r w:rsidR="001D1972" w:rsidRPr="005E6047">
        <w:rPr>
          <w:rFonts w:eastAsia="Arial Unicode MS"/>
          <w:sz w:val="22"/>
          <w:szCs w:val="22"/>
        </w:rPr>
        <w:t xml:space="preserve"> </w:t>
      </w:r>
      <w:r w:rsidR="00E52AF8" w:rsidRPr="005E6047">
        <w:rPr>
          <w:rFonts w:eastAsia="Arial Unicode MS"/>
          <w:sz w:val="22"/>
          <w:szCs w:val="22"/>
        </w:rPr>
        <w:t xml:space="preserve">for the three months ended </w:t>
      </w:r>
      <w:r w:rsidR="00F04698" w:rsidRPr="005E6047">
        <w:rPr>
          <w:rFonts w:eastAsia="Arial Unicode MS"/>
          <w:sz w:val="22"/>
          <w:szCs w:val="22"/>
        </w:rPr>
        <w:t>September</w:t>
      </w:r>
      <w:r w:rsidR="00E52AF8" w:rsidRPr="005E6047">
        <w:rPr>
          <w:rFonts w:eastAsia="Arial Unicode MS"/>
          <w:sz w:val="22"/>
          <w:szCs w:val="22"/>
        </w:rPr>
        <w:t xml:space="preserve"> 30, 2022 </w:t>
      </w:r>
      <w:r w:rsidR="002B2597" w:rsidRPr="005E6047">
        <w:rPr>
          <w:rFonts w:eastAsia="Arial Unicode MS"/>
          <w:sz w:val="22"/>
          <w:szCs w:val="22"/>
        </w:rPr>
        <w:t xml:space="preserve">increased </w:t>
      </w:r>
      <w:r w:rsidR="00EC4F19" w:rsidRPr="005E6047">
        <w:rPr>
          <w:rFonts w:eastAsia="Arial Unicode MS"/>
          <w:sz w:val="22"/>
          <w:szCs w:val="22"/>
        </w:rPr>
        <w:t>16</w:t>
      </w:r>
      <w:r w:rsidR="000E37CC" w:rsidRPr="005E6047">
        <w:rPr>
          <w:rFonts w:eastAsia="Arial Unicode MS"/>
          <w:sz w:val="22"/>
          <w:szCs w:val="22"/>
        </w:rPr>
        <w:t>.</w:t>
      </w:r>
      <w:r w:rsidR="00EC4F19" w:rsidRPr="005E6047">
        <w:rPr>
          <w:rFonts w:eastAsia="Arial Unicode MS"/>
          <w:sz w:val="22"/>
          <w:szCs w:val="22"/>
        </w:rPr>
        <w:t>8</w:t>
      </w:r>
      <w:r w:rsidR="002B2597" w:rsidRPr="005E6047">
        <w:rPr>
          <w:rFonts w:eastAsia="Arial Unicode MS"/>
          <w:sz w:val="22"/>
          <w:szCs w:val="22"/>
        </w:rPr>
        <w:t>% compared to $</w:t>
      </w:r>
      <w:r w:rsidR="00EC4F19" w:rsidRPr="005E6047">
        <w:rPr>
          <w:rFonts w:eastAsia="Arial Unicode MS"/>
          <w:sz w:val="22"/>
          <w:szCs w:val="22"/>
        </w:rPr>
        <w:t>7.5</w:t>
      </w:r>
      <w:r w:rsidR="002B2597" w:rsidRPr="005E6047">
        <w:rPr>
          <w:rFonts w:eastAsia="Arial Unicode MS"/>
          <w:sz w:val="22"/>
          <w:szCs w:val="22"/>
        </w:rPr>
        <w:t xml:space="preserve"> million for </w:t>
      </w:r>
      <w:r w:rsidR="00E52AF8" w:rsidRPr="005E6047">
        <w:rPr>
          <w:rFonts w:eastAsia="Arial Unicode MS"/>
          <w:sz w:val="22"/>
          <w:szCs w:val="22"/>
        </w:rPr>
        <w:t>the comparable prior year period</w:t>
      </w:r>
      <w:r w:rsidR="001D1972" w:rsidRPr="005E6047">
        <w:rPr>
          <w:rFonts w:eastAsia="Arial Unicode MS"/>
          <w:sz w:val="22"/>
          <w:szCs w:val="22"/>
        </w:rPr>
        <w:t>.</w:t>
      </w:r>
      <w:r w:rsidR="00711242" w:rsidRPr="005E6047">
        <w:rPr>
          <w:rFonts w:eastAsia="Arial Unicode MS"/>
          <w:sz w:val="22"/>
          <w:szCs w:val="22"/>
        </w:rPr>
        <w:t xml:space="preserve"> For the </w:t>
      </w:r>
      <w:r w:rsidR="00EC4F19" w:rsidRPr="005E6047">
        <w:rPr>
          <w:rFonts w:eastAsia="Arial Unicode MS"/>
          <w:sz w:val="22"/>
          <w:szCs w:val="22"/>
        </w:rPr>
        <w:t>nine</w:t>
      </w:r>
      <w:r w:rsidR="00711242" w:rsidRPr="005E6047">
        <w:rPr>
          <w:rFonts w:eastAsia="Arial Unicode MS"/>
          <w:sz w:val="22"/>
          <w:szCs w:val="22"/>
        </w:rPr>
        <w:t xml:space="preserve"> months</w:t>
      </w:r>
      <w:r w:rsidR="00E52AF8" w:rsidRPr="005E6047">
        <w:rPr>
          <w:rFonts w:eastAsia="Arial Unicode MS"/>
          <w:sz w:val="22"/>
          <w:szCs w:val="22"/>
        </w:rPr>
        <w:t xml:space="preserve"> ended </w:t>
      </w:r>
      <w:r w:rsidR="00EC4F19" w:rsidRPr="005E6047">
        <w:rPr>
          <w:rFonts w:eastAsia="Arial Unicode MS"/>
          <w:sz w:val="22"/>
          <w:szCs w:val="22"/>
        </w:rPr>
        <w:t xml:space="preserve">September </w:t>
      </w:r>
      <w:r w:rsidR="00E52AF8" w:rsidRPr="005E6047">
        <w:rPr>
          <w:rFonts w:eastAsia="Arial Unicode MS"/>
          <w:sz w:val="22"/>
          <w:szCs w:val="22"/>
        </w:rPr>
        <w:t>30, 2022</w:t>
      </w:r>
      <w:r w:rsidR="00711242" w:rsidRPr="005E6047">
        <w:rPr>
          <w:rFonts w:eastAsia="Arial Unicode MS"/>
          <w:sz w:val="22"/>
          <w:szCs w:val="22"/>
        </w:rPr>
        <w:t>, revenue was $</w:t>
      </w:r>
      <w:r w:rsidR="00EC4F19" w:rsidRPr="005E6047">
        <w:rPr>
          <w:rFonts w:eastAsia="Arial Unicode MS"/>
          <w:sz w:val="22"/>
          <w:szCs w:val="22"/>
        </w:rPr>
        <w:t>24.3</w:t>
      </w:r>
      <w:r w:rsidR="00711242" w:rsidRPr="005E6047">
        <w:rPr>
          <w:rFonts w:eastAsia="Arial Unicode MS"/>
          <w:sz w:val="22"/>
          <w:szCs w:val="22"/>
        </w:rPr>
        <w:t xml:space="preserve"> million, </w:t>
      </w:r>
      <w:r w:rsidR="00B07D61" w:rsidRPr="005E6047">
        <w:rPr>
          <w:rFonts w:eastAsia="Arial Unicode MS"/>
          <w:sz w:val="22"/>
          <w:szCs w:val="22"/>
        </w:rPr>
        <w:t xml:space="preserve">a </w:t>
      </w:r>
      <w:r w:rsidR="00EC4F19" w:rsidRPr="005E6047">
        <w:rPr>
          <w:rFonts w:eastAsia="Arial Unicode MS"/>
          <w:sz w:val="22"/>
          <w:szCs w:val="22"/>
        </w:rPr>
        <w:t>16</w:t>
      </w:r>
      <w:r w:rsidR="00711242" w:rsidRPr="005E6047">
        <w:rPr>
          <w:rFonts w:eastAsia="Arial Unicode MS"/>
          <w:sz w:val="22"/>
          <w:szCs w:val="22"/>
        </w:rPr>
        <w:t>.</w:t>
      </w:r>
      <w:r w:rsidR="00EC4F19" w:rsidRPr="005E6047">
        <w:rPr>
          <w:rFonts w:eastAsia="Arial Unicode MS"/>
          <w:sz w:val="22"/>
          <w:szCs w:val="22"/>
        </w:rPr>
        <w:t>2</w:t>
      </w:r>
      <w:r w:rsidR="00711242" w:rsidRPr="005E6047">
        <w:rPr>
          <w:rFonts w:eastAsia="Arial Unicode MS"/>
          <w:sz w:val="22"/>
          <w:szCs w:val="22"/>
        </w:rPr>
        <w:t xml:space="preserve">% </w:t>
      </w:r>
      <w:r w:rsidR="00B07D61" w:rsidRPr="005E6047">
        <w:rPr>
          <w:rFonts w:eastAsia="Arial Unicode MS"/>
          <w:sz w:val="22"/>
          <w:szCs w:val="22"/>
        </w:rPr>
        <w:t>increase f</w:t>
      </w:r>
      <w:r w:rsidR="00F747E9" w:rsidRPr="005E6047">
        <w:rPr>
          <w:rFonts w:eastAsia="Arial Unicode MS"/>
          <w:sz w:val="22"/>
          <w:szCs w:val="22"/>
        </w:rPr>
        <w:t>ro</w:t>
      </w:r>
      <w:r w:rsidR="00B07D61" w:rsidRPr="005E6047">
        <w:rPr>
          <w:rFonts w:eastAsia="Arial Unicode MS"/>
          <w:sz w:val="22"/>
          <w:szCs w:val="22"/>
        </w:rPr>
        <w:t>m</w:t>
      </w:r>
      <w:r w:rsidR="00711242" w:rsidRPr="005E6047">
        <w:rPr>
          <w:rFonts w:eastAsia="Arial Unicode MS"/>
          <w:sz w:val="22"/>
          <w:szCs w:val="22"/>
        </w:rPr>
        <w:t xml:space="preserve"> the $</w:t>
      </w:r>
      <w:r w:rsidR="00EC4F19" w:rsidRPr="005E6047">
        <w:rPr>
          <w:rFonts w:eastAsia="Arial Unicode MS"/>
          <w:sz w:val="22"/>
          <w:szCs w:val="22"/>
        </w:rPr>
        <w:t>20.9</w:t>
      </w:r>
      <w:r w:rsidR="00711242" w:rsidRPr="005E6047">
        <w:rPr>
          <w:rFonts w:eastAsia="Arial Unicode MS"/>
          <w:sz w:val="22"/>
          <w:szCs w:val="22"/>
        </w:rPr>
        <w:t xml:space="preserve"> million reported for the </w:t>
      </w:r>
      <w:r w:rsidR="00B07D61" w:rsidRPr="005E6047">
        <w:rPr>
          <w:rFonts w:eastAsia="Arial Unicode MS"/>
          <w:sz w:val="22"/>
          <w:szCs w:val="22"/>
        </w:rPr>
        <w:t xml:space="preserve">comparable </w:t>
      </w:r>
      <w:r w:rsidR="00711242" w:rsidRPr="005E6047">
        <w:rPr>
          <w:rFonts w:eastAsia="Arial Unicode MS"/>
          <w:sz w:val="22"/>
          <w:szCs w:val="22"/>
        </w:rPr>
        <w:t>prior year</w:t>
      </w:r>
      <w:r w:rsidR="00B07D61" w:rsidRPr="005E6047">
        <w:rPr>
          <w:rFonts w:eastAsia="Arial Unicode MS"/>
          <w:sz w:val="22"/>
          <w:szCs w:val="22"/>
        </w:rPr>
        <w:t xml:space="preserve"> period</w:t>
      </w:r>
      <w:r w:rsidR="00711242" w:rsidRPr="005E6047">
        <w:rPr>
          <w:rFonts w:eastAsia="Arial Unicode MS"/>
          <w:sz w:val="22"/>
          <w:szCs w:val="22"/>
        </w:rPr>
        <w:t>.</w:t>
      </w:r>
    </w:p>
    <w:p w14:paraId="619434E5" w14:textId="77777777" w:rsidR="0081031B" w:rsidRPr="005E6047" w:rsidRDefault="00000000" w:rsidP="002B2597">
      <w:pPr>
        <w:pStyle w:val="Normal0"/>
        <w:numPr>
          <w:ilvl w:val="0"/>
          <w:numId w:val="1"/>
        </w:numPr>
        <w:autoSpaceDE w:val="0"/>
        <w:autoSpaceDN w:val="0"/>
        <w:adjustRightInd w:val="0"/>
        <w:ind w:left="540" w:hanging="540"/>
        <w:jc w:val="both"/>
        <w:rPr>
          <w:rFonts w:eastAsia="Arial Unicode MS"/>
          <w:sz w:val="22"/>
          <w:szCs w:val="22"/>
        </w:rPr>
      </w:pPr>
      <w:r w:rsidRPr="005E6047">
        <w:rPr>
          <w:rFonts w:eastAsia="Arial Unicode MS"/>
          <w:sz w:val="22"/>
          <w:szCs w:val="22"/>
        </w:rPr>
        <w:t>Realized and unrealized losses aggregating $</w:t>
      </w:r>
      <w:r w:rsidR="00EC4F19" w:rsidRPr="005E6047">
        <w:rPr>
          <w:rFonts w:eastAsia="Arial Unicode MS"/>
          <w:sz w:val="22"/>
          <w:szCs w:val="22"/>
        </w:rPr>
        <w:t>4.4</w:t>
      </w:r>
      <w:r w:rsidRPr="005E6047">
        <w:rPr>
          <w:rFonts w:eastAsia="Arial Unicode MS"/>
          <w:sz w:val="22"/>
          <w:szCs w:val="22"/>
        </w:rPr>
        <w:t xml:space="preserve"> million </w:t>
      </w:r>
      <w:r w:rsidR="00401BB7">
        <w:rPr>
          <w:rFonts w:eastAsia="Arial Unicode MS"/>
          <w:sz w:val="22"/>
          <w:szCs w:val="22"/>
        </w:rPr>
        <w:t>for the nine months ended September 30,</w:t>
      </w:r>
      <w:r w:rsidRPr="005E6047">
        <w:rPr>
          <w:rFonts w:eastAsia="Arial Unicode MS"/>
          <w:sz w:val="22"/>
          <w:szCs w:val="22"/>
        </w:rPr>
        <w:t xml:space="preserve"> 2022, largely related to unrealized losses recorded for the Company’s ongoing investment in IronNet, Inc.</w:t>
      </w:r>
    </w:p>
    <w:p w14:paraId="0DBE1448" w14:textId="77777777" w:rsidR="00B97914" w:rsidRPr="005E6047" w:rsidRDefault="00000000" w:rsidP="00B97914">
      <w:pPr>
        <w:pStyle w:val="Normal0"/>
        <w:numPr>
          <w:ilvl w:val="0"/>
          <w:numId w:val="1"/>
        </w:numPr>
        <w:autoSpaceDE w:val="0"/>
        <w:autoSpaceDN w:val="0"/>
        <w:adjustRightInd w:val="0"/>
        <w:ind w:left="540" w:hanging="540"/>
        <w:jc w:val="both"/>
        <w:rPr>
          <w:rFonts w:eastAsia="Arial Unicode MS"/>
          <w:sz w:val="22"/>
          <w:szCs w:val="22"/>
        </w:rPr>
      </w:pPr>
      <w:r w:rsidRPr="005E6047">
        <w:rPr>
          <w:rFonts w:eastAsia="Arial Unicode MS"/>
          <w:sz w:val="22"/>
          <w:szCs w:val="22"/>
        </w:rPr>
        <w:t>Diluted net loss of $0.</w:t>
      </w:r>
      <w:r w:rsidR="00EC4F19" w:rsidRPr="005E6047">
        <w:rPr>
          <w:rFonts w:eastAsia="Arial Unicode MS"/>
          <w:sz w:val="22"/>
          <w:szCs w:val="22"/>
        </w:rPr>
        <w:t>2</w:t>
      </w:r>
      <w:r w:rsidR="000172F7">
        <w:rPr>
          <w:rFonts w:eastAsia="Arial Unicode MS"/>
          <w:sz w:val="22"/>
          <w:szCs w:val="22"/>
        </w:rPr>
        <w:t>7</w:t>
      </w:r>
      <w:r w:rsidRPr="005E6047">
        <w:rPr>
          <w:rFonts w:eastAsia="Arial Unicode MS"/>
          <w:sz w:val="22"/>
          <w:szCs w:val="22"/>
        </w:rPr>
        <w:t xml:space="preserve"> per share compared to</w:t>
      </w:r>
      <w:r w:rsidR="00EC4F19" w:rsidRPr="005E6047">
        <w:rPr>
          <w:rFonts w:eastAsia="Arial Unicode MS"/>
          <w:sz w:val="22"/>
          <w:szCs w:val="22"/>
        </w:rPr>
        <w:t xml:space="preserve"> income of</w:t>
      </w:r>
      <w:r w:rsidRPr="005E6047">
        <w:rPr>
          <w:rFonts w:eastAsia="Arial Unicode MS"/>
          <w:sz w:val="22"/>
          <w:szCs w:val="22"/>
        </w:rPr>
        <w:t xml:space="preserve"> </w:t>
      </w:r>
      <w:r w:rsidR="00EC4F19" w:rsidRPr="005E6047">
        <w:rPr>
          <w:rFonts w:eastAsia="Arial Unicode MS"/>
          <w:sz w:val="22"/>
          <w:szCs w:val="22"/>
        </w:rPr>
        <w:t>$5.97</w:t>
      </w:r>
      <w:r w:rsidRPr="005E6047">
        <w:rPr>
          <w:rFonts w:eastAsia="Arial Unicode MS"/>
          <w:sz w:val="22"/>
          <w:szCs w:val="22"/>
        </w:rPr>
        <w:t xml:space="preserve"> for the prior year quarter, and a loss of $0.</w:t>
      </w:r>
      <w:r w:rsidR="00401BB7" w:rsidRPr="005E6047">
        <w:rPr>
          <w:rFonts w:eastAsia="Arial Unicode MS"/>
          <w:sz w:val="22"/>
          <w:szCs w:val="22"/>
        </w:rPr>
        <w:t>5</w:t>
      </w:r>
      <w:r w:rsidR="00401BB7">
        <w:rPr>
          <w:rFonts w:eastAsia="Arial Unicode MS"/>
          <w:sz w:val="22"/>
          <w:szCs w:val="22"/>
        </w:rPr>
        <w:t>8</w:t>
      </w:r>
      <w:r w:rsidR="00401BB7" w:rsidRPr="005E6047">
        <w:rPr>
          <w:rFonts w:eastAsia="Arial Unicode MS"/>
          <w:sz w:val="22"/>
          <w:szCs w:val="22"/>
        </w:rPr>
        <w:t xml:space="preserve"> </w:t>
      </w:r>
      <w:r w:rsidRPr="005E6047">
        <w:rPr>
          <w:rFonts w:eastAsia="Arial Unicode MS"/>
          <w:sz w:val="22"/>
          <w:szCs w:val="22"/>
        </w:rPr>
        <w:t xml:space="preserve">for the </w:t>
      </w:r>
      <w:r w:rsidR="00EC4F19" w:rsidRPr="005E6047">
        <w:rPr>
          <w:rFonts w:eastAsia="Arial Unicode MS"/>
          <w:sz w:val="22"/>
          <w:szCs w:val="22"/>
        </w:rPr>
        <w:t>nine</w:t>
      </w:r>
      <w:r w:rsidRPr="005E6047">
        <w:rPr>
          <w:rFonts w:eastAsia="Arial Unicode MS"/>
          <w:sz w:val="22"/>
          <w:szCs w:val="22"/>
        </w:rPr>
        <w:t xml:space="preserve"> months versus </w:t>
      </w:r>
      <w:r w:rsidR="00EC4F19" w:rsidRPr="005E6047">
        <w:rPr>
          <w:rFonts w:eastAsia="Arial Unicode MS"/>
          <w:sz w:val="22"/>
          <w:szCs w:val="22"/>
        </w:rPr>
        <w:t>income of $5.96</w:t>
      </w:r>
      <w:r w:rsidRPr="005E6047">
        <w:rPr>
          <w:rFonts w:eastAsia="Arial Unicode MS"/>
          <w:sz w:val="22"/>
          <w:szCs w:val="22"/>
        </w:rPr>
        <w:t xml:space="preserve"> for the comparable prior year period.</w:t>
      </w:r>
    </w:p>
    <w:p w14:paraId="501CB9FD" w14:textId="77777777" w:rsidR="009A34A7" w:rsidRPr="005E6047" w:rsidRDefault="00000000" w:rsidP="009A34A7">
      <w:pPr>
        <w:pStyle w:val="Normal0"/>
        <w:numPr>
          <w:ilvl w:val="0"/>
          <w:numId w:val="1"/>
        </w:numPr>
        <w:autoSpaceDE w:val="0"/>
        <w:autoSpaceDN w:val="0"/>
        <w:adjustRightInd w:val="0"/>
        <w:ind w:left="540" w:hanging="540"/>
        <w:jc w:val="both"/>
        <w:rPr>
          <w:rFonts w:eastAsia="Arial Unicode MS"/>
          <w:sz w:val="22"/>
          <w:szCs w:val="22"/>
        </w:rPr>
      </w:pPr>
      <w:r w:rsidRPr="005E6047">
        <w:rPr>
          <w:rFonts w:eastAsia="Arial Unicode MS"/>
          <w:sz w:val="22"/>
          <w:szCs w:val="22"/>
        </w:rPr>
        <w:t>Backlog of $</w:t>
      </w:r>
      <w:r w:rsidR="00483B1C" w:rsidRPr="005E6047">
        <w:rPr>
          <w:rFonts w:eastAsia="Arial Unicode MS"/>
          <w:sz w:val="22"/>
          <w:szCs w:val="22"/>
        </w:rPr>
        <w:t>44</w:t>
      </w:r>
      <w:r w:rsidR="004B3246" w:rsidRPr="005E6047">
        <w:rPr>
          <w:rFonts w:eastAsia="Arial Unicode MS"/>
          <w:sz w:val="22"/>
          <w:szCs w:val="22"/>
        </w:rPr>
        <w:t>.</w:t>
      </w:r>
      <w:r w:rsidR="00483B1C" w:rsidRPr="005E6047">
        <w:rPr>
          <w:rFonts w:eastAsia="Arial Unicode MS"/>
          <w:sz w:val="22"/>
          <w:szCs w:val="22"/>
        </w:rPr>
        <w:t>2</w:t>
      </w:r>
      <w:r w:rsidRPr="005E6047">
        <w:rPr>
          <w:rFonts w:eastAsia="Arial Unicode MS"/>
          <w:sz w:val="22"/>
          <w:szCs w:val="22"/>
        </w:rPr>
        <w:t xml:space="preserve"> million at </w:t>
      </w:r>
      <w:r w:rsidR="00483B1C" w:rsidRPr="005E6047">
        <w:rPr>
          <w:rFonts w:eastAsia="Arial Unicode MS"/>
          <w:sz w:val="22"/>
          <w:szCs w:val="22"/>
        </w:rPr>
        <w:t>September</w:t>
      </w:r>
      <w:r w:rsidR="004950B6" w:rsidRPr="005E6047">
        <w:rPr>
          <w:rFonts w:eastAsia="Arial Unicode MS"/>
          <w:sz w:val="22"/>
          <w:szCs w:val="22"/>
        </w:rPr>
        <w:t xml:space="preserve"> 30</w:t>
      </w:r>
      <w:r w:rsidRPr="005E6047">
        <w:rPr>
          <w:rFonts w:eastAsia="Arial Unicode MS"/>
          <w:sz w:val="22"/>
          <w:szCs w:val="22"/>
        </w:rPr>
        <w:t xml:space="preserve">, 2022, up </w:t>
      </w:r>
      <w:r w:rsidR="00483B1C" w:rsidRPr="005E6047">
        <w:rPr>
          <w:rFonts w:eastAsia="Arial Unicode MS"/>
          <w:sz w:val="22"/>
          <w:szCs w:val="22"/>
        </w:rPr>
        <w:t>48.3</w:t>
      </w:r>
      <w:r w:rsidRPr="005E6047">
        <w:rPr>
          <w:rFonts w:eastAsia="Arial Unicode MS"/>
          <w:sz w:val="22"/>
          <w:szCs w:val="22"/>
        </w:rPr>
        <w:t xml:space="preserve">% </w:t>
      </w:r>
      <w:r w:rsidR="006A1687" w:rsidRPr="005E6047">
        <w:rPr>
          <w:rFonts w:eastAsia="Arial Unicode MS"/>
          <w:sz w:val="22"/>
          <w:szCs w:val="22"/>
        </w:rPr>
        <w:t>versus</w:t>
      </w:r>
      <w:r w:rsidRPr="005E6047">
        <w:rPr>
          <w:rFonts w:eastAsia="Arial Unicode MS"/>
          <w:sz w:val="22"/>
          <w:szCs w:val="22"/>
        </w:rPr>
        <w:t xml:space="preserve"> $29.8 million as of Q4 2021</w:t>
      </w:r>
      <w:r w:rsidR="006A1687" w:rsidRPr="005E6047">
        <w:rPr>
          <w:rFonts w:eastAsia="Arial Unicode MS"/>
          <w:sz w:val="22"/>
          <w:szCs w:val="22"/>
        </w:rPr>
        <w:t xml:space="preserve"> and </w:t>
      </w:r>
      <w:r w:rsidR="004B3246" w:rsidRPr="005E6047">
        <w:rPr>
          <w:rFonts w:eastAsia="Arial Unicode MS"/>
          <w:sz w:val="22"/>
          <w:szCs w:val="22"/>
        </w:rPr>
        <w:t>up 10</w:t>
      </w:r>
      <w:r w:rsidR="00483B1C" w:rsidRPr="005E6047">
        <w:rPr>
          <w:rFonts w:eastAsia="Arial Unicode MS"/>
          <w:sz w:val="22"/>
          <w:szCs w:val="22"/>
        </w:rPr>
        <w:t>2</w:t>
      </w:r>
      <w:r w:rsidR="004B3246" w:rsidRPr="005E6047">
        <w:rPr>
          <w:rFonts w:eastAsia="Arial Unicode MS"/>
          <w:sz w:val="22"/>
          <w:szCs w:val="22"/>
        </w:rPr>
        <w:t>.</w:t>
      </w:r>
      <w:r w:rsidR="00483B1C" w:rsidRPr="005E6047">
        <w:rPr>
          <w:rFonts w:eastAsia="Arial Unicode MS"/>
          <w:sz w:val="22"/>
          <w:szCs w:val="22"/>
        </w:rPr>
        <w:t>3</w:t>
      </w:r>
      <w:r w:rsidR="004B3246" w:rsidRPr="005E6047">
        <w:rPr>
          <w:rFonts w:eastAsia="Arial Unicode MS"/>
          <w:sz w:val="22"/>
          <w:szCs w:val="22"/>
        </w:rPr>
        <w:t xml:space="preserve">% </w:t>
      </w:r>
      <w:r w:rsidR="006A1687" w:rsidRPr="005E6047">
        <w:rPr>
          <w:rFonts w:eastAsia="Arial Unicode MS"/>
          <w:sz w:val="22"/>
          <w:szCs w:val="22"/>
        </w:rPr>
        <w:t>compared to $</w:t>
      </w:r>
      <w:r w:rsidR="001D001F">
        <w:rPr>
          <w:rFonts w:eastAsia="Arial Unicode MS"/>
          <w:sz w:val="22"/>
          <w:szCs w:val="22"/>
        </w:rPr>
        <w:t>21.8</w:t>
      </w:r>
      <w:r w:rsidR="006A1687" w:rsidRPr="005E6047">
        <w:rPr>
          <w:rFonts w:eastAsia="Arial Unicode MS"/>
          <w:sz w:val="22"/>
          <w:szCs w:val="22"/>
        </w:rPr>
        <w:t xml:space="preserve"> million at </w:t>
      </w:r>
      <w:r w:rsidR="00053CF9">
        <w:rPr>
          <w:rFonts w:eastAsia="Arial Unicode MS"/>
          <w:sz w:val="22"/>
          <w:szCs w:val="22"/>
        </w:rPr>
        <w:t>September</w:t>
      </w:r>
      <w:r w:rsidR="006A1687" w:rsidRPr="005E6047">
        <w:rPr>
          <w:rFonts w:eastAsia="Arial Unicode MS"/>
          <w:sz w:val="22"/>
          <w:szCs w:val="22"/>
        </w:rPr>
        <w:t xml:space="preserve"> 30, 2021</w:t>
      </w:r>
      <w:r w:rsidRPr="005E6047">
        <w:rPr>
          <w:rFonts w:eastAsia="Arial Unicode MS"/>
          <w:sz w:val="22"/>
          <w:szCs w:val="22"/>
        </w:rPr>
        <w:t>.</w:t>
      </w:r>
    </w:p>
    <w:p w14:paraId="791802B6" w14:textId="77777777" w:rsidR="002B2597" w:rsidRPr="005E6047" w:rsidRDefault="00000000" w:rsidP="0056580D">
      <w:pPr>
        <w:pStyle w:val="Normal0"/>
        <w:numPr>
          <w:ilvl w:val="0"/>
          <w:numId w:val="1"/>
        </w:numPr>
        <w:autoSpaceDE w:val="0"/>
        <w:autoSpaceDN w:val="0"/>
        <w:adjustRightInd w:val="0"/>
        <w:ind w:left="540" w:hanging="540"/>
        <w:jc w:val="both"/>
        <w:rPr>
          <w:rFonts w:eastAsia="Arial Unicode MS"/>
          <w:sz w:val="22"/>
          <w:szCs w:val="22"/>
        </w:rPr>
      </w:pPr>
      <w:r w:rsidRPr="005E6047">
        <w:rPr>
          <w:sz w:val="22"/>
          <w:szCs w:val="22"/>
        </w:rPr>
        <w:t>Net working capital of $</w:t>
      </w:r>
      <w:r w:rsidR="002C6CB2" w:rsidRPr="005E6047">
        <w:rPr>
          <w:sz w:val="22"/>
          <w:szCs w:val="22"/>
        </w:rPr>
        <w:t>47</w:t>
      </w:r>
      <w:r w:rsidR="004B3246" w:rsidRPr="005E6047">
        <w:rPr>
          <w:sz w:val="22"/>
          <w:szCs w:val="22"/>
        </w:rPr>
        <w:t>.</w:t>
      </w:r>
      <w:r w:rsidR="000172F7">
        <w:rPr>
          <w:sz w:val="22"/>
          <w:szCs w:val="22"/>
        </w:rPr>
        <w:t>7</w:t>
      </w:r>
      <w:r w:rsidRPr="005E6047">
        <w:rPr>
          <w:sz w:val="22"/>
          <w:szCs w:val="22"/>
        </w:rPr>
        <w:t xml:space="preserve"> million including</w:t>
      </w:r>
      <w:r w:rsidR="004F0D75" w:rsidRPr="004F0D75">
        <w:rPr>
          <w:sz w:val="22"/>
          <w:szCs w:val="22"/>
        </w:rPr>
        <w:t xml:space="preserve"> </w:t>
      </w:r>
      <w:r w:rsidR="004F0D75" w:rsidRPr="005E6047">
        <w:rPr>
          <w:sz w:val="22"/>
          <w:szCs w:val="22"/>
        </w:rPr>
        <w:t>cash and marketable securities of $39.4 million</w:t>
      </w:r>
      <w:r w:rsidR="004F0D75">
        <w:rPr>
          <w:sz w:val="22"/>
          <w:szCs w:val="22"/>
        </w:rPr>
        <w:t xml:space="preserve"> and</w:t>
      </w:r>
      <w:r w:rsidRPr="005E6047">
        <w:rPr>
          <w:sz w:val="22"/>
          <w:szCs w:val="22"/>
        </w:rPr>
        <w:t xml:space="preserve"> $</w:t>
      </w:r>
      <w:r w:rsidR="002C6CB2" w:rsidRPr="005E6047">
        <w:rPr>
          <w:sz w:val="22"/>
          <w:szCs w:val="22"/>
        </w:rPr>
        <w:t>7.6</w:t>
      </w:r>
      <w:r w:rsidRPr="005E6047">
        <w:rPr>
          <w:sz w:val="22"/>
          <w:szCs w:val="22"/>
        </w:rPr>
        <w:t xml:space="preserve"> million of </w:t>
      </w:r>
      <w:r w:rsidR="005E7620" w:rsidRPr="005E6047">
        <w:rPr>
          <w:sz w:val="22"/>
          <w:szCs w:val="22"/>
        </w:rPr>
        <w:t>inventory</w:t>
      </w:r>
      <w:r w:rsidR="00CE47C9">
        <w:rPr>
          <w:sz w:val="22"/>
          <w:szCs w:val="22"/>
        </w:rPr>
        <w:t xml:space="preserve"> as of</w:t>
      </w:r>
      <w:r w:rsidR="004F0D75" w:rsidRPr="004F0D75">
        <w:rPr>
          <w:sz w:val="22"/>
          <w:szCs w:val="22"/>
        </w:rPr>
        <w:t xml:space="preserve"> </w:t>
      </w:r>
      <w:r w:rsidR="004F0D75">
        <w:rPr>
          <w:sz w:val="22"/>
          <w:szCs w:val="22"/>
        </w:rPr>
        <w:t>September 30, 2022</w:t>
      </w:r>
      <w:r w:rsidRPr="005E6047">
        <w:rPr>
          <w:sz w:val="22"/>
          <w:szCs w:val="22"/>
        </w:rPr>
        <w:t>.</w:t>
      </w:r>
    </w:p>
    <w:p w14:paraId="292CFE39" w14:textId="77777777" w:rsidR="0056580D" w:rsidRPr="005E6047" w:rsidRDefault="00000000" w:rsidP="00C85E5B">
      <w:pPr>
        <w:pStyle w:val="Normal0"/>
        <w:numPr>
          <w:ilvl w:val="0"/>
          <w:numId w:val="1"/>
        </w:numPr>
        <w:autoSpaceDE w:val="0"/>
        <w:autoSpaceDN w:val="0"/>
        <w:adjustRightInd w:val="0"/>
        <w:ind w:left="540" w:hanging="540"/>
        <w:jc w:val="both"/>
        <w:rPr>
          <w:rFonts w:eastAsia="Arial Unicode MS"/>
          <w:sz w:val="22"/>
          <w:szCs w:val="22"/>
        </w:rPr>
      </w:pPr>
      <w:r w:rsidRPr="005E6047">
        <w:rPr>
          <w:rFonts w:eastAsia="Arial Unicode MS"/>
          <w:sz w:val="22"/>
          <w:szCs w:val="22"/>
        </w:rPr>
        <w:t xml:space="preserve">Adjusted </w:t>
      </w:r>
      <w:r w:rsidR="002B2597" w:rsidRPr="005E6047">
        <w:rPr>
          <w:rFonts w:eastAsia="Arial Unicode MS"/>
          <w:sz w:val="22"/>
          <w:szCs w:val="22"/>
        </w:rPr>
        <w:t xml:space="preserve">EBITDA for </w:t>
      </w:r>
      <w:r w:rsidR="00401BB7">
        <w:rPr>
          <w:rFonts w:eastAsia="Arial Unicode MS"/>
          <w:sz w:val="22"/>
          <w:szCs w:val="22"/>
        </w:rPr>
        <w:t>the three months ended September 30,</w:t>
      </w:r>
      <w:r w:rsidR="00401BB7" w:rsidRPr="005E6047">
        <w:rPr>
          <w:rFonts w:eastAsia="Arial Unicode MS"/>
          <w:sz w:val="22"/>
          <w:szCs w:val="22"/>
        </w:rPr>
        <w:t xml:space="preserve"> </w:t>
      </w:r>
      <w:r w:rsidR="002B2597" w:rsidRPr="005E6047">
        <w:rPr>
          <w:rFonts w:eastAsia="Arial Unicode MS"/>
          <w:sz w:val="22"/>
          <w:szCs w:val="22"/>
        </w:rPr>
        <w:t>2022 was $</w:t>
      </w:r>
      <w:r w:rsidR="000172F7">
        <w:rPr>
          <w:rFonts w:eastAsia="Arial Unicode MS"/>
          <w:sz w:val="22"/>
          <w:szCs w:val="22"/>
        </w:rPr>
        <w:t>611</w:t>
      </w:r>
      <w:r w:rsidR="002B2597" w:rsidRPr="005E6047">
        <w:rPr>
          <w:rFonts w:eastAsia="Arial Unicode MS"/>
          <w:sz w:val="22"/>
          <w:szCs w:val="22"/>
        </w:rPr>
        <w:t>,000 or $0.</w:t>
      </w:r>
      <w:r w:rsidR="00FA6DF0" w:rsidRPr="005E6047">
        <w:rPr>
          <w:rFonts w:eastAsia="Arial Unicode MS"/>
          <w:sz w:val="22"/>
          <w:szCs w:val="22"/>
        </w:rPr>
        <w:t>1</w:t>
      </w:r>
      <w:r w:rsidR="000172F7">
        <w:rPr>
          <w:rFonts w:eastAsia="Arial Unicode MS"/>
          <w:sz w:val="22"/>
          <w:szCs w:val="22"/>
        </w:rPr>
        <w:t>1</w:t>
      </w:r>
      <w:r w:rsidR="006A1687" w:rsidRPr="005E6047">
        <w:rPr>
          <w:rFonts w:eastAsia="Arial Unicode MS"/>
          <w:sz w:val="22"/>
          <w:szCs w:val="22"/>
        </w:rPr>
        <w:t xml:space="preserve"> </w:t>
      </w:r>
      <w:r w:rsidR="002B2597" w:rsidRPr="005E6047">
        <w:rPr>
          <w:rFonts w:eastAsia="Arial Unicode MS"/>
          <w:sz w:val="22"/>
          <w:szCs w:val="22"/>
        </w:rPr>
        <w:t>per diluted share compared to $</w:t>
      </w:r>
      <w:r w:rsidR="0067091B">
        <w:rPr>
          <w:rFonts w:eastAsia="Arial Unicode MS"/>
          <w:sz w:val="22"/>
          <w:szCs w:val="22"/>
        </w:rPr>
        <w:t>719</w:t>
      </w:r>
      <w:r w:rsidR="002B2597" w:rsidRPr="005E6047">
        <w:rPr>
          <w:rFonts w:eastAsia="Arial Unicode MS"/>
          <w:sz w:val="22"/>
          <w:szCs w:val="22"/>
        </w:rPr>
        <w:t>,000, or $0.</w:t>
      </w:r>
      <w:r w:rsidR="0067091B">
        <w:rPr>
          <w:rFonts w:eastAsia="Arial Unicode MS"/>
          <w:sz w:val="22"/>
          <w:szCs w:val="22"/>
        </w:rPr>
        <w:t>14</w:t>
      </w:r>
      <w:r w:rsidR="002B2597" w:rsidRPr="005E6047">
        <w:rPr>
          <w:rFonts w:eastAsia="Arial Unicode MS"/>
          <w:sz w:val="22"/>
          <w:szCs w:val="22"/>
        </w:rPr>
        <w:t xml:space="preserve"> per diluted share for </w:t>
      </w:r>
      <w:r w:rsidR="00401BB7">
        <w:rPr>
          <w:rFonts w:eastAsia="Arial Unicode MS"/>
          <w:sz w:val="22"/>
          <w:szCs w:val="22"/>
        </w:rPr>
        <w:t>the three months ended September 30,</w:t>
      </w:r>
      <w:r w:rsidR="002B2597" w:rsidRPr="005E6047">
        <w:rPr>
          <w:rFonts w:eastAsia="Arial Unicode MS"/>
          <w:sz w:val="22"/>
          <w:szCs w:val="22"/>
        </w:rPr>
        <w:t xml:space="preserve"> 2021.</w:t>
      </w:r>
      <w:r w:rsidR="00FA6DF0" w:rsidRPr="005E6047">
        <w:rPr>
          <w:rFonts w:eastAsia="Arial Unicode MS"/>
          <w:sz w:val="22"/>
          <w:szCs w:val="22"/>
        </w:rPr>
        <w:t xml:space="preserve">  For the </w:t>
      </w:r>
      <w:r w:rsidR="002C6CB2" w:rsidRPr="005E6047">
        <w:rPr>
          <w:rFonts w:eastAsia="Arial Unicode MS"/>
          <w:sz w:val="22"/>
          <w:szCs w:val="22"/>
        </w:rPr>
        <w:t>nine</w:t>
      </w:r>
      <w:r w:rsidR="00FA6DF0" w:rsidRPr="005E6047">
        <w:rPr>
          <w:rFonts w:eastAsia="Arial Unicode MS"/>
          <w:sz w:val="22"/>
          <w:szCs w:val="22"/>
        </w:rPr>
        <w:t xml:space="preserve"> months</w:t>
      </w:r>
      <w:r w:rsidR="00B07D61" w:rsidRPr="005E6047">
        <w:rPr>
          <w:rFonts w:eastAsia="Arial Unicode MS"/>
          <w:sz w:val="22"/>
          <w:szCs w:val="22"/>
        </w:rPr>
        <w:t xml:space="preserve"> ended </w:t>
      </w:r>
      <w:r w:rsidR="002C6CB2" w:rsidRPr="005E6047">
        <w:rPr>
          <w:rFonts w:eastAsia="Arial Unicode MS"/>
          <w:sz w:val="22"/>
          <w:szCs w:val="22"/>
        </w:rPr>
        <w:t>Septem</w:t>
      </w:r>
      <w:r w:rsidR="005E6047" w:rsidRPr="005E6047">
        <w:rPr>
          <w:rFonts w:eastAsia="Arial Unicode MS"/>
          <w:sz w:val="22"/>
          <w:szCs w:val="22"/>
        </w:rPr>
        <w:t>b</w:t>
      </w:r>
      <w:r w:rsidR="002C6CB2" w:rsidRPr="005E6047">
        <w:rPr>
          <w:rFonts w:eastAsia="Arial Unicode MS"/>
          <w:sz w:val="22"/>
          <w:szCs w:val="22"/>
        </w:rPr>
        <w:t>er</w:t>
      </w:r>
      <w:r w:rsidR="00B07D61" w:rsidRPr="005E6047">
        <w:rPr>
          <w:rFonts w:eastAsia="Arial Unicode MS"/>
          <w:sz w:val="22"/>
          <w:szCs w:val="22"/>
        </w:rPr>
        <w:t xml:space="preserve"> 30, 2022</w:t>
      </w:r>
      <w:r w:rsidR="00FA6DF0" w:rsidRPr="005E6047">
        <w:rPr>
          <w:rFonts w:eastAsia="Arial Unicode MS"/>
          <w:sz w:val="22"/>
          <w:szCs w:val="22"/>
        </w:rPr>
        <w:t>, adjusted EBITDA was $1,</w:t>
      </w:r>
      <w:r w:rsidR="000172F7">
        <w:rPr>
          <w:rFonts w:eastAsia="Arial Unicode MS"/>
          <w:sz w:val="22"/>
          <w:szCs w:val="22"/>
        </w:rPr>
        <w:t>929</w:t>
      </w:r>
      <w:r w:rsidR="00FA6DF0" w:rsidRPr="005E6047">
        <w:rPr>
          <w:rFonts w:eastAsia="Arial Unicode MS"/>
          <w:sz w:val="22"/>
          <w:szCs w:val="22"/>
        </w:rPr>
        <w:t>,000 or $0.</w:t>
      </w:r>
      <w:r w:rsidR="005E6047" w:rsidRPr="005E6047">
        <w:rPr>
          <w:rFonts w:eastAsia="Arial Unicode MS"/>
          <w:sz w:val="22"/>
          <w:szCs w:val="22"/>
        </w:rPr>
        <w:t>3</w:t>
      </w:r>
      <w:r w:rsidR="000172F7">
        <w:rPr>
          <w:rFonts w:eastAsia="Arial Unicode MS"/>
          <w:sz w:val="22"/>
          <w:szCs w:val="22"/>
        </w:rPr>
        <w:t>6</w:t>
      </w:r>
      <w:r w:rsidR="00FA6DF0" w:rsidRPr="005E6047">
        <w:rPr>
          <w:rFonts w:eastAsia="Arial Unicode MS"/>
          <w:sz w:val="22"/>
          <w:szCs w:val="22"/>
        </w:rPr>
        <w:t xml:space="preserve"> per </w:t>
      </w:r>
      <w:r w:rsidR="00401BB7">
        <w:rPr>
          <w:rFonts w:eastAsia="Arial Unicode MS"/>
          <w:sz w:val="22"/>
          <w:szCs w:val="22"/>
        </w:rPr>
        <w:t xml:space="preserve">diluted </w:t>
      </w:r>
      <w:r w:rsidR="00FA6DF0" w:rsidRPr="005E6047">
        <w:rPr>
          <w:rFonts w:eastAsia="Arial Unicode MS"/>
          <w:sz w:val="22"/>
          <w:szCs w:val="22"/>
        </w:rPr>
        <w:t xml:space="preserve">share </w:t>
      </w:r>
      <w:r w:rsidR="00401BB7">
        <w:rPr>
          <w:rFonts w:eastAsia="Arial Unicode MS"/>
          <w:sz w:val="22"/>
          <w:szCs w:val="22"/>
        </w:rPr>
        <w:t>compared to</w:t>
      </w:r>
      <w:r w:rsidR="00401BB7" w:rsidRPr="005E6047">
        <w:rPr>
          <w:rFonts w:eastAsia="Arial Unicode MS"/>
          <w:sz w:val="22"/>
          <w:szCs w:val="22"/>
        </w:rPr>
        <w:t xml:space="preserve"> </w:t>
      </w:r>
      <w:r w:rsidR="00FA6DF0" w:rsidRPr="005E6047">
        <w:rPr>
          <w:rFonts w:eastAsia="Arial Unicode MS"/>
          <w:sz w:val="22"/>
          <w:szCs w:val="22"/>
        </w:rPr>
        <w:t>$</w:t>
      </w:r>
      <w:r w:rsidR="00435506">
        <w:rPr>
          <w:rFonts w:eastAsia="Arial Unicode MS"/>
          <w:sz w:val="22"/>
          <w:szCs w:val="22"/>
        </w:rPr>
        <w:t>1,683</w:t>
      </w:r>
      <w:r w:rsidR="00FA6DF0" w:rsidRPr="005E6047">
        <w:rPr>
          <w:rFonts w:eastAsia="Arial Unicode MS"/>
          <w:sz w:val="22"/>
          <w:szCs w:val="22"/>
        </w:rPr>
        <w:t>,000 or $0.</w:t>
      </w:r>
      <w:r w:rsidR="00435506">
        <w:rPr>
          <w:rFonts w:eastAsia="Arial Unicode MS"/>
          <w:sz w:val="22"/>
          <w:szCs w:val="22"/>
        </w:rPr>
        <w:t>32</w:t>
      </w:r>
      <w:r w:rsidR="00FA6DF0" w:rsidRPr="005E6047">
        <w:rPr>
          <w:rFonts w:eastAsia="Arial Unicode MS"/>
          <w:sz w:val="22"/>
          <w:szCs w:val="22"/>
        </w:rPr>
        <w:t xml:space="preserve"> per</w:t>
      </w:r>
      <w:r w:rsidR="00401BB7">
        <w:rPr>
          <w:rFonts w:eastAsia="Arial Unicode MS"/>
          <w:sz w:val="22"/>
          <w:szCs w:val="22"/>
        </w:rPr>
        <w:t xml:space="preserve"> diluted</w:t>
      </w:r>
      <w:r w:rsidR="00FA6DF0" w:rsidRPr="005E6047">
        <w:rPr>
          <w:rFonts w:eastAsia="Arial Unicode MS"/>
          <w:sz w:val="22"/>
          <w:szCs w:val="22"/>
        </w:rPr>
        <w:t xml:space="preserve"> share for the comparable prior year period.</w:t>
      </w:r>
    </w:p>
    <w:p w14:paraId="3E219F28" w14:textId="77777777" w:rsidR="0006424D" w:rsidRPr="00F21BE8" w:rsidRDefault="00000000" w:rsidP="000D2AD3">
      <w:pPr>
        <w:pStyle w:val="Normal0"/>
        <w:spacing w:before="240"/>
        <w:jc w:val="both"/>
        <w:rPr>
          <w:b/>
          <w:bCs/>
          <w:color w:val="000000"/>
          <w:sz w:val="22"/>
          <w:szCs w:val="22"/>
        </w:rPr>
      </w:pPr>
      <w:r w:rsidRPr="00F21BE8">
        <w:rPr>
          <w:b/>
          <w:bCs/>
          <w:color w:val="000000"/>
          <w:sz w:val="22"/>
          <w:szCs w:val="22"/>
        </w:rPr>
        <w:t xml:space="preserve">RESULTS </w:t>
      </w:r>
      <w:r w:rsidR="00C85E5B" w:rsidRPr="00F21BE8">
        <w:rPr>
          <w:b/>
          <w:bCs/>
          <w:color w:val="000000"/>
          <w:sz w:val="22"/>
          <w:szCs w:val="22"/>
        </w:rPr>
        <w:t>FROM OPERATIONS</w:t>
      </w:r>
    </w:p>
    <w:p w14:paraId="2AE3A231" w14:textId="77777777" w:rsidR="00DE2567" w:rsidRDefault="00DE2567" w:rsidP="000D2AD3">
      <w:pPr>
        <w:pStyle w:val="Normal0"/>
        <w:autoSpaceDE w:val="0"/>
        <w:autoSpaceDN w:val="0"/>
        <w:adjustRightInd w:val="0"/>
        <w:rPr>
          <w:color w:val="000000"/>
          <w:sz w:val="22"/>
          <w:szCs w:val="22"/>
        </w:rPr>
      </w:pPr>
    </w:p>
    <w:p w14:paraId="79D1F169" w14:textId="77777777" w:rsidR="00D6141D" w:rsidRDefault="00000000" w:rsidP="00031E6D">
      <w:pPr>
        <w:pStyle w:val="Normal0"/>
        <w:autoSpaceDE w:val="0"/>
        <w:autoSpaceDN w:val="0"/>
        <w:adjustRightInd w:val="0"/>
        <w:jc w:val="both"/>
        <w:rPr>
          <w:sz w:val="22"/>
          <w:szCs w:val="22"/>
        </w:rPr>
      </w:pPr>
      <w:r w:rsidRPr="00F21BE8">
        <w:rPr>
          <w:color w:val="000000"/>
          <w:sz w:val="22"/>
          <w:szCs w:val="22"/>
        </w:rPr>
        <w:t xml:space="preserve">Revenues </w:t>
      </w:r>
      <w:r w:rsidRPr="002039AF">
        <w:rPr>
          <w:sz w:val="22"/>
          <w:szCs w:val="22"/>
        </w:rPr>
        <w:t xml:space="preserve">for the </w:t>
      </w:r>
      <w:r>
        <w:rPr>
          <w:sz w:val="22"/>
          <w:szCs w:val="22"/>
        </w:rPr>
        <w:t>three</w:t>
      </w:r>
      <w:r w:rsidRPr="002039AF">
        <w:rPr>
          <w:sz w:val="22"/>
          <w:szCs w:val="22"/>
        </w:rPr>
        <w:t xml:space="preserve"> months ended </w:t>
      </w:r>
      <w:r>
        <w:rPr>
          <w:sz w:val="22"/>
          <w:szCs w:val="22"/>
        </w:rPr>
        <w:t xml:space="preserve">September </w:t>
      </w:r>
      <w:r w:rsidRPr="002039AF">
        <w:rPr>
          <w:sz w:val="22"/>
          <w:szCs w:val="22"/>
        </w:rPr>
        <w:t>30, 2022</w:t>
      </w:r>
      <w:r>
        <w:rPr>
          <w:sz w:val="22"/>
          <w:szCs w:val="22"/>
        </w:rPr>
        <w:t xml:space="preserve"> increased $1.3 million</w:t>
      </w:r>
      <w:r w:rsidRPr="002039AF">
        <w:rPr>
          <w:sz w:val="22"/>
          <w:szCs w:val="22"/>
        </w:rPr>
        <w:t>, or 1</w:t>
      </w:r>
      <w:r>
        <w:rPr>
          <w:sz w:val="22"/>
          <w:szCs w:val="22"/>
        </w:rPr>
        <w:t>6</w:t>
      </w:r>
      <w:r w:rsidRPr="002039AF">
        <w:rPr>
          <w:sz w:val="22"/>
          <w:szCs w:val="22"/>
        </w:rPr>
        <w:t>.</w:t>
      </w:r>
      <w:r>
        <w:rPr>
          <w:sz w:val="22"/>
          <w:szCs w:val="22"/>
        </w:rPr>
        <w:t>8</w:t>
      </w:r>
      <w:r w:rsidRPr="002039AF">
        <w:rPr>
          <w:sz w:val="22"/>
          <w:szCs w:val="22"/>
        </w:rPr>
        <w:t>%</w:t>
      </w:r>
      <w:r>
        <w:rPr>
          <w:sz w:val="22"/>
          <w:szCs w:val="22"/>
        </w:rPr>
        <w:t>, to $8.8 million from</w:t>
      </w:r>
      <w:r w:rsidRPr="002039AF">
        <w:rPr>
          <w:sz w:val="22"/>
          <w:szCs w:val="22"/>
        </w:rPr>
        <w:t xml:space="preserve"> $</w:t>
      </w:r>
      <w:r>
        <w:rPr>
          <w:sz w:val="22"/>
          <w:szCs w:val="22"/>
        </w:rPr>
        <w:t>7.5 million</w:t>
      </w:r>
      <w:r w:rsidRPr="002039AF">
        <w:rPr>
          <w:color w:val="000000"/>
          <w:sz w:val="22"/>
          <w:szCs w:val="22"/>
        </w:rPr>
        <w:t xml:space="preserve"> for the </w:t>
      </w:r>
      <w:r>
        <w:rPr>
          <w:color w:val="000000"/>
          <w:sz w:val="22"/>
          <w:szCs w:val="22"/>
        </w:rPr>
        <w:t>three</w:t>
      </w:r>
      <w:r w:rsidRPr="002039AF">
        <w:rPr>
          <w:color w:val="000000"/>
          <w:sz w:val="22"/>
          <w:szCs w:val="22"/>
        </w:rPr>
        <w:t xml:space="preserve"> months ended </w:t>
      </w:r>
      <w:r>
        <w:rPr>
          <w:color w:val="000000"/>
          <w:sz w:val="22"/>
          <w:szCs w:val="22"/>
        </w:rPr>
        <w:t>September</w:t>
      </w:r>
      <w:r w:rsidRPr="002039AF">
        <w:rPr>
          <w:color w:val="000000"/>
          <w:sz w:val="22"/>
          <w:szCs w:val="22"/>
        </w:rPr>
        <w:t> 30, 2021</w:t>
      </w:r>
      <w:r>
        <w:rPr>
          <w:color w:val="000000"/>
          <w:sz w:val="22"/>
          <w:szCs w:val="22"/>
        </w:rPr>
        <w:t xml:space="preserve">. </w:t>
      </w:r>
      <w:r w:rsidR="00565826" w:rsidRPr="00F21BE8">
        <w:rPr>
          <w:color w:val="000000"/>
          <w:sz w:val="22"/>
          <w:szCs w:val="22"/>
        </w:rPr>
        <w:t xml:space="preserve">Revenues </w:t>
      </w:r>
      <w:r w:rsidR="00F21BE8" w:rsidRPr="002039AF">
        <w:rPr>
          <w:sz w:val="22"/>
          <w:szCs w:val="22"/>
        </w:rPr>
        <w:t xml:space="preserve">for the </w:t>
      </w:r>
      <w:r w:rsidR="005E6047">
        <w:rPr>
          <w:sz w:val="22"/>
          <w:szCs w:val="22"/>
        </w:rPr>
        <w:t>nine</w:t>
      </w:r>
      <w:r w:rsidR="00F21BE8" w:rsidRPr="002039AF">
        <w:rPr>
          <w:sz w:val="22"/>
          <w:szCs w:val="22"/>
        </w:rPr>
        <w:t xml:space="preserve"> months ended </w:t>
      </w:r>
      <w:r w:rsidR="005E6047">
        <w:rPr>
          <w:sz w:val="22"/>
          <w:szCs w:val="22"/>
        </w:rPr>
        <w:t xml:space="preserve">September </w:t>
      </w:r>
      <w:r w:rsidR="00F21BE8" w:rsidRPr="002039AF">
        <w:rPr>
          <w:sz w:val="22"/>
          <w:szCs w:val="22"/>
        </w:rPr>
        <w:t>30, 2022</w:t>
      </w:r>
      <w:r w:rsidR="00334563">
        <w:rPr>
          <w:sz w:val="22"/>
          <w:szCs w:val="22"/>
        </w:rPr>
        <w:t xml:space="preserve"> increased $</w:t>
      </w:r>
      <w:r w:rsidR="005E6047">
        <w:rPr>
          <w:sz w:val="22"/>
          <w:szCs w:val="22"/>
        </w:rPr>
        <w:t>3.</w:t>
      </w:r>
      <w:r w:rsidR="00401BB7">
        <w:rPr>
          <w:sz w:val="22"/>
          <w:szCs w:val="22"/>
        </w:rPr>
        <w:t xml:space="preserve">4 </w:t>
      </w:r>
      <w:r w:rsidR="00334563">
        <w:rPr>
          <w:sz w:val="22"/>
          <w:szCs w:val="22"/>
        </w:rPr>
        <w:t>million</w:t>
      </w:r>
      <w:r w:rsidR="00F21BE8" w:rsidRPr="002039AF">
        <w:rPr>
          <w:sz w:val="22"/>
          <w:szCs w:val="22"/>
        </w:rPr>
        <w:t>, or 1</w:t>
      </w:r>
      <w:r w:rsidR="005E6047">
        <w:rPr>
          <w:sz w:val="22"/>
          <w:szCs w:val="22"/>
        </w:rPr>
        <w:t>6</w:t>
      </w:r>
      <w:r w:rsidR="00F21BE8" w:rsidRPr="002039AF">
        <w:rPr>
          <w:sz w:val="22"/>
          <w:szCs w:val="22"/>
        </w:rPr>
        <w:t>.</w:t>
      </w:r>
      <w:r w:rsidR="005E6047">
        <w:rPr>
          <w:sz w:val="22"/>
          <w:szCs w:val="22"/>
        </w:rPr>
        <w:t>2</w:t>
      </w:r>
      <w:r w:rsidR="00F21BE8" w:rsidRPr="002039AF">
        <w:rPr>
          <w:sz w:val="22"/>
          <w:szCs w:val="22"/>
        </w:rPr>
        <w:t>%</w:t>
      </w:r>
      <w:r w:rsidR="00334563">
        <w:rPr>
          <w:sz w:val="22"/>
          <w:szCs w:val="22"/>
        </w:rPr>
        <w:t>, to $</w:t>
      </w:r>
      <w:r w:rsidR="005E6047">
        <w:rPr>
          <w:sz w:val="22"/>
          <w:szCs w:val="22"/>
        </w:rPr>
        <w:t>24</w:t>
      </w:r>
      <w:r w:rsidR="00334563">
        <w:rPr>
          <w:sz w:val="22"/>
          <w:szCs w:val="22"/>
        </w:rPr>
        <w:t>.</w:t>
      </w:r>
      <w:r w:rsidR="005E6047">
        <w:rPr>
          <w:sz w:val="22"/>
          <w:szCs w:val="22"/>
        </w:rPr>
        <w:t>3</w:t>
      </w:r>
      <w:r w:rsidR="00334563">
        <w:rPr>
          <w:sz w:val="22"/>
          <w:szCs w:val="22"/>
        </w:rPr>
        <w:t xml:space="preserve"> million from</w:t>
      </w:r>
      <w:r w:rsidR="00F21BE8" w:rsidRPr="002039AF">
        <w:rPr>
          <w:sz w:val="22"/>
          <w:szCs w:val="22"/>
        </w:rPr>
        <w:t xml:space="preserve"> $</w:t>
      </w:r>
      <w:r w:rsidR="005E6047">
        <w:rPr>
          <w:sz w:val="22"/>
          <w:szCs w:val="22"/>
        </w:rPr>
        <w:t>20.9</w:t>
      </w:r>
      <w:r w:rsidR="00334563">
        <w:rPr>
          <w:sz w:val="22"/>
          <w:szCs w:val="22"/>
        </w:rPr>
        <w:t xml:space="preserve"> million</w:t>
      </w:r>
      <w:r w:rsidR="00F21BE8" w:rsidRPr="002039AF">
        <w:rPr>
          <w:color w:val="000000"/>
          <w:sz w:val="22"/>
          <w:szCs w:val="22"/>
        </w:rPr>
        <w:t xml:space="preserve"> for the </w:t>
      </w:r>
      <w:r w:rsidR="005E6047">
        <w:rPr>
          <w:color w:val="000000"/>
          <w:sz w:val="22"/>
          <w:szCs w:val="22"/>
        </w:rPr>
        <w:t>nine</w:t>
      </w:r>
      <w:r w:rsidR="00F21BE8" w:rsidRPr="002039AF">
        <w:rPr>
          <w:color w:val="000000"/>
          <w:sz w:val="22"/>
          <w:szCs w:val="22"/>
        </w:rPr>
        <w:t xml:space="preserve"> months ended </w:t>
      </w:r>
      <w:r w:rsidR="005E6047">
        <w:rPr>
          <w:color w:val="000000"/>
          <w:sz w:val="22"/>
          <w:szCs w:val="22"/>
        </w:rPr>
        <w:t>September</w:t>
      </w:r>
      <w:r w:rsidR="00F21BE8" w:rsidRPr="002039AF">
        <w:rPr>
          <w:color w:val="000000"/>
          <w:sz w:val="22"/>
          <w:szCs w:val="22"/>
        </w:rPr>
        <w:t> 30, 2021</w:t>
      </w:r>
      <w:r w:rsidR="00334563">
        <w:rPr>
          <w:color w:val="000000"/>
          <w:sz w:val="22"/>
          <w:szCs w:val="22"/>
        </w:rPr>
        <w:t xml:space="preserve">. </w:t>
      </w:r>
      <w:r w:rsidR="00565826" w:rsidRPr="00F21BE8">
        <w:rPr>
          <w:color w:val="000000"/>
          <w:sz w:val="22"/>
          <w:szCs w:val="22"/>
        </w:rPr>
        <w:t xml:space="preserve">The revenue increase reflects the </w:t>
      </w:r>
      <w:r w:rsidR="00956623">
        <w:rPr>
          <w:color w:val="000000"/>
          <w:sz w:val="22"/>
          <w:szCs w:val="22"/>
        </w:rPr>
        <w:t>continued recovery of the</w:t>
      </w:r>
      <w:r w:rsidR="00956623" w:rsidRPr="00F21BE8">
        <w:rPr>
          <w:color w:val="000000"/>
          <w:sz w:val="22"/>
          <w:szCs w:val="22"/>
        </w:rPr>
        <w:t xml:space="preserve"> </w:t>
      </w:r>
      <w:r w:rsidR="00565826" w:rsidRPr="00F21BE8">
        <w:rPr>
          <w:color w:val="000000"/>
          <w:sz w:val="22"/>
          <w:szCs w:val="22"/>
        </w:rPr>
        <w:t xml:space="preserve">avionics market and </w:t>
      </w:r>
      <w:r w:rsidR="00565826" w:rsidRPr="00031E6D">
        <w:rPr>
          <w:sz w:val="22"/>
          <w:szCs w:val="22"/>
        </w:rPr>
        <w:t xml:space="preserve">strong defense product shipments. </w:t>
      </w:r>
      <w:r>
        <w:rPr>
          <w:sz w:val="22"/>
          <w:szCs w:val="22"/>
        </w:rPr>
        <w:t>G</w:t>
      </w:r>
      <w:r w:rsidRPr="00031E6D">
        <w:rPr>
          <w:sz w:val="22"/>
          <w:szCs w:val="22"/>
        </w:rPr>
        <w:t>ross margins were 3</w:t>
      </w:r>
      <w:r>
        <w:rPr>
          <w:sz w:val="22"/>
          <w:szCs w:val="22"/>
        </w:rPr>
        <w:t>2</w:t>
      </w:r>
      <w:r w:rsidRPr="00031E6D">
        <w:rPr>
          <w:sz w:val="22"/>
          <w:szCs w:val="22"/>
        </w:rPr>
        <w:t>.</w:t>
      </w:r>
      <w:r>
        <w:rPr>
          <w:sz w:val="22"/>
          <w:szCs w:val="22"/>
        </w:rPr>
        <w:t>8</w:t>
      </w:r>
      <w:r w:rsidRPr="00031E6D">
        <w:rPr>
          <w:sz w:val="22"/>
          <w:szCs w:val="22"/>
        </w:rPr>
        <w:t>%</w:t>
      </w:r>
      <w:r>
        <w:rPr>
          <w:sz w:val="22"/>
          <w:szCs w:val="22"/>
        </w:rPr>
        <w:t xml:space="preserve"> for the three months ended September 30, 2022</w:t>
      </w:r>
      <w:r w:rsidRPr="00031E6D">
        <w:rPr>
          <w:sz w:val="22"/>
          <w:szCs w:val="22"/>
        </w:rPr>
        <w:t xml:space="preserve"> compared to 36.</w:t>
      </w:r>
      <w:r>
        <w:rPr>
          <w:sz w:val="22"/>
          <w:szCs w:val="22"/>
        </w:rPr>
        <w:t>2</w:t>
      </w:r>
      <w:r w:rsidRPr="00031E6D">
        <w:rPr>
          <w:sz w:val="22"/>
          <w:szCs w:val="22"/>
        </w:rPr>
        <w:t xml:space="preserve">% for the </w:t>
      </w:r>
      <w:r>
        <w:rPr>
          <w:sz w:val="22"/>
          <w:szCs w:val="22"/>
        </w:rPr>
        <w:t xml:space="preserve">comparable period in the </w:t>
      </w:r>
      <w:r w:rsidRPr="00031E6D">
        <w:rPr>
          <w:sz w:val="22"/>
          <w:szCs w:val="22"/>
        </w:rPr>
        <w:t>prior year</w:t>
      </w:r>
      <w:r>
        <w:rPr>
          <w:sz w:val="22"/>
          <w:szCs w:val="22"/>
        </w:rPr>
        <w:t xml:space="preserve">. </w:t>
      </w:r>
      <w:r w:rsidR="00565826" w:rsidRPr="00031E6D">
        <w:rPr>
          <w:sz w:val="22"/>
          <w:szCs w:val="22"/>
        </w:rPr>
        <w:t>Gross margins were 3</w:t>
      </w:r>
      <w:r w:rsidR="005E6047" w:rsidRPr="00031E6D">
        <w:rPr>
          <w:sz w:val="22"/>
          <w:szCs w:val="22"/>
        </w:rPr>
        <w:t>5</w:t>
      </w:r>
      <w:r w:rsidR="00565826" w:rsidRPr="00031E6D">
        <w:rPr>
          <w:sz w:val="22"/>
          <w:szCs w:val="22"/>
        </w:rPr>
        <w:t>.</w:t>
      </w:r>
      <w:r w:rsidR="005E6047" w:rsidRPr="00031E6D">
        <w:rPr>
          <w:sz w:val="22"/>
          <w:szCs w:val="22"/>
        </w:rPr>
        <w:t>8</w:t>
      </w:r>
      <w:r w:rsidR="00565826" w:rsidRPr="00031E6D">
        <w:rPr>
          <w:sz w:val="22"/>
          <w:szCs w:val="22"/>
        </w:rPr>
        <w:t>%</w:t>
      </w:r>
      <w:r>
        <w:rPr>
          <w:sz w:val="22"/>
          <w:szCs w:val="22"/>
        </w:rPr>
        <w:t xml:space="preserve"> for the nine months ended September 30, 2022</w:t>
      </w:r>
      <w:r w:rsidR="00565826" w:rsidRPr="00031E6D">
        <w:rPr>
          <w:sz w:val="22"/>
          <w:szCs w:val="22"/>
        </w:rPr>
        <w:t xml:space="preserve"> compared to </w:t>
      </w:r>
      <w:r w:rsidR="00956623" w:rsidRPr="00031E6D">
        <w:rPr>
          <w:sz w:val="22"/>
          <w:szCs w:val="22"/>
        </w:rPr>
        <w:t>36.3</w:t>
      </w:r>
      <w:r w:rsidR="00565826" w:rsidRPr="00031E6D">
        <w:rPr>
          <w:sz w:val="22"/>
          <w:szCs w:val="22"/>
        </w:rPr>
        <w:t>% for the</w:t>
      </w:r>
      <w:r>
        <w:rPr>
          <w:sz w:val="22"/>
          <w:szCs w:val="22"/>
        </w:rPr>
        <w:t xml:space="preserve"> comparable period in the</w:t>
      </w:r>
      <w:r w:rsidR="00565826" w:rsidRPr="00031E6D">
        <w:rPr>
          <w:sz w:val="22"/>
          <w:szCs w:val="22"/>
        </w:rPr>
        <w:t xml:space="preserve"> prior year</w:t>
      </w:r>
      <w:r w:rsidR="00D825A4">
        <w:rPr>
          <w:sz w:val="22"/>
          <w:szCs w:val="22"/>
        </w:rPr>
        <w:t>. The decrease in gross margins for the three and nine month periods ended September 30, 2022, as compared to the corresponding prior year periods,</w:t>
      </w:r>
      <w:r w:rsidR="00D825A4" w:rsidRPr="00031E6D">
        <w:rPr>
          <w:sz w:val="22"/>
          <w:szCs w:val="22"/>
        </w:rPr>
        <w:t xml:space="preserve"> </w:t>
      </w:r>
      <w:r w:rsidR="00031E6D" w:rsidRPr="00031E6D">
        <w:rPr>
          <w:sz w:val="22"/>
          <w:szCs w:val="22"/>
        </w:rPr>
        <w:t>reflect the</w:t>
      </w:r>
      <w:r w:rsidR="00031E6D">
        <w:rPr>
          <w:sz w:val="22"/>
          <w:szCs w:val="22"/>
        </w:rPr>
        <w:t xml:space="preserve"> </w:t>
      </w:r>
      <w:r w:rsidR="00031E6D" w:rsidRPr="00031E6D">
        <w:rPr>
          <w:sz w:val="22"/>
          <w:szCs w:val="22"/>
        </w:rPr>
        <w:t>effects of product mix changes and inflationary headwinds due to labor and materials cost increases on long term contracts, partially</w:t>
      </w:r>
      <w:r w:rsidR="00031E6D">
        <w:rPr>
          <w:sz w:val="22"/>
          <w:szCs w:val="22"/>
        </w:rPr>
        <w:t xml:space="preserve"> </w:t>
      </w:r>
      <w:r w:rsidR="00031E6D" w:rsidRPr="00031E6D">
        <w:rPr>
          <w:sz w:val="22"/>
          <w:szCs w:val="22"/>
        </w:rPr>
        <w:t>offset by increased business volume</w:t>
      </w:r>
      <w:r w:rsidR="00565826" w:rsidRPr="00031E6D">
        <w:rPr>
          <w:sz w:val="22"/>
          <w:szCs w:val="22"/>
        </w:rPr>
        <w:t>.</w:t>
      </w:r>
    </w:p>
    <w:p w14:paraId="06275185" w14:textId="77777777" w:rsidR="00031E6D" w:rsidRDefault="00031E6D" w:rsidP="00031E6D">
      <w:pPr>
        <w:pStyle w:val="Normal0"/>
        <w:autoSpaceDE w:val="0"/>
        <w:autoSpaceDN w:val="0"/>
        <w:adjustRightInd w:val="0"/>
        <w:rPr>
          <w:sz w:val="22"/>
          <w:szCs w:val="22"/>
        </w:rPr>
      </w:pPr>
    </w:p>
    <w:p w14:paraId="2D6EFEE9" w14:textId="77777777" w:rsidR="00565826" w:rsidRDefault="00000000" w:rsidP="0006424D">
      <w:pPr>
        <w:pStyle w:val="Normal0"/>
        <w:spacing w:after="120"/>
        <w:jc w:val="both"/>
        <w:rPr>
          <w:sz w:val="22"/>
          <w:szCs w:val="22"/>
        </w:rPr>
      </w:pPr>
      <w:r w:rsidRPr="00565826">
        <w:rPr>
          <w:sz w:val="22"/>
          <w:szCs w:val="22"/>
        </w:rPr>
        <w:t>Backlog was $</w:t>
      </w:r>
      <w:r w:rsidR="00956623">
        <w:rPr>
          <w:sz w:val="22"/>
          <w:szCs w:val="22"/>
        </w:rPr>
        <w:t>4</w:t>
      </w:r>
      <w:r w:rsidR="00031E6D">
        <w:rPr>
          <w:sz w:val="22"/>
          <w:szCs w:val="22"/>
        </w:rPr>
        <w:t>4</w:t>
      </w:r>
      <w:r w:rsidR="00956623">
        <w:rPr>
          <w:sz w:val="22"/>
          <w:szCs w:val="22"/>
        </w:rPr>
        <w:t>.</w:t>
      </w:r>
      <w:r w:rsidR="00031E6D">
        <w:rPr>
          <w:sz w:val="22"/>
          <w:szCs w:val="22"/>
        </w:rPr>
        <w:t>2</w:t>
      </w:r>
      <w:r w:rsidRPr="00565826">
        <w:rPr>
          <w:sz w:val="22"/>
          <w:szCs w:val="22"/>
        </w:rPr>
        <w:t xml:space="preserve"> million</w:t>
      </w:r>
      <w:r w:rsidR="00401BB7">
        <w:rPr>
          <w:sz w:val="22"/>
          <w:szCs w:val="22"/>
        </w:rPr>
        <w:t xml:space="preserve"> at September 30, 2022</w:t>
      </w:r>
      <w:r w:rsidRPr="00565826">
        <w:rPr>
          <w:sz w:val="22"/>
          <w:szCs w:val="22"/>
        </w:rPr>
        <w:t xml:space="preserve"> versus $29.8 million at </w:t>
      </w:r>
      <w:r w:rsidR="00401BB7">
        <w:rPr>
          <w:sz w:val="22"/>
          <w:szCs w:val="22"/>
        </w:rPr>
        <w:t>December 31, 2021</w:t>
      </w:r>
      <w:r w:rsidRPr="00565826">
        <w:rPr>
          <w:sz w:val="22"/>
          <w:szCs w:val="22"/>
        </w:rPr>
        <w:t xml:space="preserve"> and $</w:t>
      </w:r>
      <w:r w:rsidR="00956623">
        <w:rPr>
          <w:sz w:val="22"/>
          <w:szCs w:val="22"/>
        </w:rPr>
        <w:t>21.</w:t>
      </w:r>
      <w:r w:rsidR="00031E6D">
        <w:rPr>
          <w:sz w:val="22"/>
          <w:szCs w:val="22"/>
        </w:rPr>
        <w:t>8</w:t>
      </w:r>
      <w:r w:rsidRPr="00565826">
        <w:rPr>
          <w:sz w:val="22"/>
          <w:szCs w:val="22"/>
        </w:rPr>
        <w:t xml:space="preserve"> million at </w:t>
      </w:r>
      <w:r w:rsidR="00401BB7">
        <w:rPr>
          <w:sz w:val="22"/>
          <w:szCs w:val="22"/>
        </w:rPr>
        <w:t>Sep</w:t>
      </w:r>
      <w:r w:rsidR="00BE23FA">
        <w:rPr>
          <w:sz w:val="22"/>
          <w:szCs w:val="22"/>
        </w:rPr>
        <w:t>tember</w:t>
      </w:r>
      <w:r w:rsidRPr="00565826">
        <w:rPr>
          <w:sz w:val="22"/>
          <w:szCs w:val="22"/>
        </w:rPr>
        <w:t xml:space="preserve"> 2021. </w:t>
      </w:r>
      <w:r w:rsidR="00412339" w:rsidRPr="00D4597B">
        <w:rPr>
          <w:sz w:val="22"/>
          <w:szCs w:val="22"/>
        </w:rPr>
        <w:t>Backlog included $4</w:t>
      </w:r>
      <w:r w:rsidR="00D4597B" w:rsidRPr="00D4597B">
        <w:rPr>
          <w:sz w:val="22"/>
          <w:szCs w:val="22"/>
        </w:rPr>
        <w:t>4.1</w:t>
      </w:r>
      <w:r w:rsidR="00412339" w:rsidRPr="00D4597B">
        <w:rPr>
          <w:sz w:val="22"/>
          <w:szCs w:val="22"/>
        </w:rPr>
        <w:t xml:space="preserve"> million and $</w:t>
      </w:r>
      <w:r w:rsidR="00B00880" w:rsidRPr="00D4597B">
        <w:rPr>
          <w:sz w:val="22"/>
          <w:szCs w:val="22"/>
        </w:rPr>
        <w:t>21.</w:t>
      </w:r>
      <w:r w:rsidR="00D4597B" w:rsidRPr="00D4597B">
        <w:rPr>
          <w:sz w:val="22"/>
          <w:szCs w:val="22"/>
        </w:rPr>
        <w:t>8</w:t>
      </w:r>
      <w:r w:rsidR="00412339" w:rsidRPr="00D4597B">
        <w:rPr>
          <w:sz w:val="22"/>
          <w:szCs w:val="22"/>
        </w:rPr>
        <w:t xml:space="preserve"> million for</w:t>
      </w:r>
      <w:r w:rsidR="00412339" w:rsidRPr="00412339">
        <w:rPr>
          <w:sz w:val="22"/>
          <w:szCs w:val="22"/>
        </w:rPr>
        <w:t xml:space="preserve"> our electronic components (MtronPTI) segment </w:t>
      </w:r>
      <w:r w:rsidR="00412339" w:rsidRPr="00D4597B">
        <w:rPr>
          <w:sz w:val="22"/>
          <w:szCs w:val="22"/>
        </w:rPr>
        <w:t>and</w:t>
      </w:r>
      <w:r w:rsidR="0000168E">
        <w:rPr>
          <w:sz w:val="22"/>
          <w:szCs w:val="22"/>
        </w:rPr>
        <w:t xml:space="preserve"> approximately</w:t>
      </w:r>
      <w:r w:rsidR="00412339" w:rsidRPr="00D4597B">
        <w:rPr>
          <w:sz w:val="22"/>
          <w:szCs w:val="22"/>
        </w:rPr>
        <w:t xml:space="preserve"> $</w:t>
      </w:r>
      <w:r w:rsidR="0000168E">
        <w:rPr>
          <w:sz w:val="22"/>
          <w:szCs w:val="22"/>
        </w:rPr>
        <w:t>128,000</w:t>
      </w:r>
      <w:r w:rsidR="00412339" w:rsidRPr="00D4597B">
        <w:rPr>
          <w:sz w:val="22"/>
          <w:szCs w:val="22"/>
        </w:rPr>
        <w:t xml:space="preserve"> and $</w:t>
      </w:r>
      <w:r w:rsidR="0000168E">
        <w:rPr>
          <w:sz w:val="22"/>
          <w:szCs w:val="22"/>
        </w:rPr>
        <w:t>74,000</w:t>
      </w:r>
      <w:r w:rsidR="00412339" w:rsidRPr="00D4597B">
        <w:rPr>
          <w:sz w:val="22"/>
          <w:szCs w:val="22"/>
        </w:rPr>
        <w:t xml:space="preserve"> for our electronic instruments segment (PTF) as of </w:t>
      </w:r>
      <w:r w:rsidR="00D4597B" w:rsidRPr="00D4597B">
        <w:rPr>
          <w:sz w:val="22"/>
          <w:szCs w:val="22"/>
        </w:rPr>
        <w:t>September</w:t>
      </w:r>
      <w:r w:rsidR="00412339" w:rsidRPr="00D4597B">
        <w:rPr>
          <w:sz w:val="22"/>
          <w:szCs w:val="22"/>
        </w:rPr>
        <w:t xml:space="preserve"> 30, 2022, and </w:t>
      </w:r>
      <w:r w:rsidR="00D4597B" w:rsidRPr="00D4597B">
        <w:rPr>
          <w:sz w:val="22"/>
          <w:szCs w:val="22"/>
        </w:rPr>
        <w:t>September</w:t>
      </w:r>
      <w:r w:rsidR="00412339" w:rsidRPr="00D4597B">
        <w:rPr>
          <w:sz w:val="22"/>
          <w:szCs w:val="22"/>
        </w:rPr>
        <w:t xml:space="preserve"> 30, 2021, respectively. </w:t>
      </w:r>
      <w:r w:rsidRPr="00D4597B">
        <w:rPr>
          <w:sz w:val="22"/>
          <w:szCs w:val="22"/>
        </w:rPr>
        <w:t xml:space="preserve">Quarterly bookings were </w:t>
      </w:r>
      <w:r w:rsidR="00D4597B" w:rsidRPr="00D4597B">
        <w:rPr>
          <w:sz w:val="22"/>
          <w:szCs w:val="22"/>
        </w:rPr>
        <w:t xml:space="preserve">$9.6 million for the third quarter of 2022, </w:t>
      </w:r>
      <w:r w:rsidR="00956623" w:rsidRPr="00D4597B">
        <w:rPr>
          <w:sz w:val="22"/>
          <w:szCs w:val="22"/>
        </w:rPr>
        <w:t xml:space="preserve">$13.8 million for the second quarter of 2022, </w:t>
      </w:r>
      <w:r w:rsidRPr="00D4597B">
        <w:rPr>
          <w:sz w:val="22"/>
          <w:szCs w:val="22"/>
        </w:rPr>
        <w:t>$15.3 million for the first quarter of 2022</w:t>
      </w:r>
      <w:r w:rsidR="00956623" w:rsidRPr="00D4597B">
        <w:rPr>
          <w:sz w:val="22"/>
          <w:szCs w:val="22"/>
        </w:rPr>
        <w:t>,</w:t>
      </w:r>
      <w:r w:rsidRPr="00D4597B">
        <w:rPr>
          <w:sz w:val="22"/>
          <w:szCs w:val="22"/>
        </w:rPr>
        <w:t xml:space="preserve"> and $15.2 million for the fourth quarter of 2021. </w:t>
      </w:r>
      <w:r w:rsidR="00D825A4">
        <w:rPr>
          <w:sz w:val="22"/>
          <w:szCs w:val="22"/>
        </w:rPr>
        <w:t>D</w:t>
      </w:r>
      <w:r w:rsidRPr="00D4597B">
        <w:rPr>
          <w:sz w:val="22"/>
          <w:szCs w:val="22"/>
        </w:rPr>
        <w:t xml:space="preserve">uring the last </w:t>
      </w:r>
      <w:r w:rsidR="00D4597B" w:rsidRPr="00D4597B">
        <w:rPr>
          <w:sz w:val="22"/>
          <w:szCs w:val="22"/>
        </w:rPr>
        <w:t>four</w:t>
      </w:r>
      <w:r w:rsidR="00956623" w:rsidRPr="00D4597B">
        <w:rPr>
          <w:sz w:val="22"/>
          <w:szCs w:val="22"/>
        </w:rPr>
        <w:t xml:space="preserve"> </w:t>
      </w:r>
      <w:r w:rsidRPr="00D4597B">
        <w:rPr>
          <w:sz w:val="22"/>
          <w:szCs w:val="22"/>
        </w:rPr>
        <w:t>quarters</w:t>
      </w:r>
      <w:r w:rsidR="00D825A4" w:rsidRPr="00D825A4">
        <w:rPr>
          <w:sz w:val="22"/>
          <w:szCs w:val="22"/>
        </w:rPr>
        <w:t xml:space="preserve"> </w:t>
      </w:r>
      <w:r w:rsidR="00D825A4" w:rsidRPr="00EE20C6">
        <w:rPr>
          <w:sz w:val="22"/>
          <w:szCs w:val="22"/>
        </w:rPr>
        <w:t>we have had record bookings that continue to be above sales</w:t>
      </w:r>
      <w:r w:rsidRPr="00D4597B">
        <w:rPr>
          <w:sz w:val="22"/>
          <w:szCs w:val="22"/>
        </w:rPr>
        <w:t xml:space="preserve"> reflect</w:t>
      </w:r>
      <w:r w:rsidR="00D825A4">
        <w:rPr>
          <w:sz w:val="22"/>
          <w:szCs w:val="22"/>
        </w:rPr>
        <w:t>ing</w:t>
      </w:r>
      <w:r w:rsidRPr="00D4597B">
        <w:rPr>
          <w:sz w:val="22"/>
          <w:szCs w:val="22"/>
        </w:rPr>
        <w:t xml:space="preserve"> improved orders from the </w:t>
      </w:r>
      <w:r w:rsidR="00956623" w:rsidRPr="00D4597B">
        <w:rPr>
          <w:sz w:val="22"/>
          <w:szCs w:val="22"/>
        </w:rPr>
        <w:t>continued recovery</w:t>
      </w:r>
      <w:r w:rsidR="00E46D0E" w:rsidRPr="00D4597B">
        <w:rPr>
          <w:sz w:val="22"/>
          <w:szCs w:val="22"/>
        </w:rPr>
        <w:t xml:space="preserve"> of the</w:t>
      </w:r>
      <w:r w:rsidR="00956623" w:rsidRPr="00D4597B">
        <w:rPr>
          <w:sz w:val="22"/>
          <w:szCs w:val="22"/>
        </w:rPr>
        <w:t xml:space="preserve"> </w:t>
      </w:r>
      <w:r w:rsidRPr="00D4597B">
        <w:rPr>
          <w:sz w:val="22"/>
          <w:szCs w:val="22"/>
        </w:rPr>
        <w:t xml:space="preserve">avionics market along with strong defense orders, </w:t>
      </w:r>
      <w:r w:rsidR="00334563" w:rsidRPr="00D4597B">
        <w:rPr>
          <w:sz w:val="22"/>
          <w:szCs w:val="22"/>
        </w:rPr>
        <w:t xml:space="preserve">as we continue to pull in orders from our customers </w:t>
      </w:r>
      <w:r w:rsidR="00D51068" w:rsidRPr="00D4597B">
        <w:rPr>
          <w:sz w:val="22"/>
          <w:szCs w:val="22"/>
        </w:rPr>
        <w:t xml:space="preserve">for </w:t>
      </w:r>
      <w:r w:rsidR="00334563" w:rsidRPr="00D4597B">
        <w:rPr>
          <w:sz w:val="22"/>
          <w:szCs w:val="22"/>
        </w:rPr>
        <w:t>2023 and beyond</w:t>
      </w:r>
      <w:r w:rsidRPr="00D4597B">
        <w:rPr>
          <w:sz w:val="22"/>
          <w:szCs w:val="22"/>
        </w:rPr>
        <w:t xml:space="preserve">, much of which is expected to ship subsequent to 2022. </w:t>
      </w:r>
      <w:r w:rsidR="00334563" w:rsidRPr="00D4597B">
        <w:rPr>
          <w:sz w:val="22"/>
          <w:szCs w:val="22"/>
        </w:rPr>
        <w:t xml:space="preserve">Supply chain constraints </w:t>
      </w:r>
      <w:r w:rsidR="00D51068" w:rsidRPr="00D4597B">
        <w:rPr>
          <w:sz w:val="22"/>
          <w:szCs w:val="22"/>
        </w:rPr>
        <w:t xml:space="preserve">within our industry </w:t>
      </w:r>
      <w:r w:rsidR="00334563" w:rsidRPr="00D4597B">
        <w:rPr>
          <w:sz w:val="22"/>
          <w:szCs w:val="22"/>
        </w:rPr>
        <w:t xml:space="preserve">have pushed our customers to </w:t>
      </w:r>
      <w:r w:rsidR="00D51068" w:rsidRPr="00D4597B">
        <w:rPr>
          <w:sz w:val="22"/>
          <w:szCs w:val="22"/>
        </w:rPr>
        <w:t>order well in advance to secure product deliveries for their production requirements.</w:t>
      </w:r>
    </w:p>
    <w:p w14:paraId="1635EED7" w14:textId="77777777" w:rsidR="0006424D" w:rsidRPr="00633FAE" w:rsidRDefault="00000000" w:rsidP="00835D99">
      <w:pPr>
        <w:pStyle w:val="Normal0"/>
        <w:autoSpaceDE w:val="0"/>
        <w:autoSpaceDN w:val="0"/>
        <w:adjustRightInd w:val="0"/>
        <w:jc w:val="both"/>
        <w:rPr>
          <w:sz w:val="22"/>
          <w:szCs w:val="22"/>
        </w:rPr>
      </w:pPr>
      <w:r>
        <w:rPr>
          <w:sz w:val="22"/>
          <w:szCs w:val="22"/>
        </w:rPr>
        <w:t xml:space="preserve">For the three months ended September 30, 2022, </w:t>
      </w:r>
      <w:r w:rsidR="00226E86" w:rsidRPr="00591AE0">
        <w:rPr>
          <w:sz w:val="22"/>
          <w:szCs w:val="22"/>
        </w:rPr>
        <w:t>GAAP o</w:t>
      </w:r>
      <w:r w:rsidR="00C01574" w:rsidRPr="00591AE0">
        <w:rPr>
          <w:sz w:val="22"/>
          <w:szCs w:val="22"/>
        </w:rPr>
        <w:t xml:space="preserve">perating income </w:t>
      </w:r>
      <w:r w:rsidR="00412FC3" w:rsidRPr="00591AE0">
        <w:rPr>
          <w:sz w:val="22"/>
          <w:szCs w:val="22"/>
        </w:rPr>
        <w:t>was $</w:t>
      </w:r>
      <w:r w:rsidR="000172F7">
        <w:rPr>
          <w:sz w:val="22"/>
          <w:szCs w:val="22"/>
        </w:rPr>
        <w:t>121</w:t>
      </w:r>
      <w:r w:rsidR="00565826" w:rsidRPr="00591AE0">
        <w:rPr>
          <w:sz w:val="22"/>
          <w:szCs w:val="22"/>
        </w:rPr>
        <w:t>,000</w:t>
      </w:r>
      <w:r w:rsidR="00412FC3" w:rsidRPr="00591AE0">
        <w:rPr>
          <w:sz w:val="22"/>
          <w:szCs w:val="22"/>
        </w:rPr>
        <w:t xml:space="preserve"> </w:t>
      </w:r>
      <w:r w:rsidRPr="00591AE0">
        <w:rPr>
          <w:sz w:val="22"/>
          <w:szCs w:val="22"/>
        </w:rPr>
        <w:t>compared to</w:t>
      </w:r>
      <w:r>
        <w:rPr>
          <w:sz w:val="22"/>
          <w:szCs w:val="22"/>
        </w:rPr>
        <w:t xml:space="preserve"> a loss of</w:t>
      </w:r>
      <w:r w:rsidRPr="00591AE0">
        <w:rPr>
          <w:sz w:val="22"/>
          <w:szCs w:val="22"/>
        </w:rPr>
        <w:t xml:space="preserve"> </w:t>
      </w:r>
      <w:r w:rsidR="00591AE0" w:rsidRPr="00591AE0">
        <w:rPr>
          <w:sz w:val="22"/>
          <w:szCs w:val="22"/>
        </w:rPr>
        <w:t>(</w:t>
      </w:r>
      <w:r w:rsidR="00FE68C6" w:rsidRPr="00591AE0">
        <w:rPr>
          <w:sz w:val="22"/>
          <w:szCs w:val="22"/>
        </w:rPr>
        <w:t>$</w:t>
      </w:r>
      <w:r w:rsidR="00591AE0" w:rsidRPr="00591AE0">
        <w:rPr>
          <w:sz w:val="22"/>
          <w:szCs w:val="22"/>
        </w:rPr>
        <w:t>746</w:t>
      </w:r>
      <w:r w:rsidR="001F1D9D" w:rsidRPr="00591AE0">
        <w:rPr>
          <w:sz w:val="22"/>
          <w:szCs w:val="22"/>
        </w:rPr>
        <w:t>,000</w:t>
      </w:r>
      <w:r w:rsidR="00591AE0" w:rsidRPr="00591AE0">
        <w:rPr>
          <w:sz w:val="22"/>
          <w:szCs w:val="22"/>
        </w:rPr>
        <w:t>)</w:t>
      </w:r>
      <w:r w:rsidR="00FE68C6" w:rsidRPr="00591AE0">
        <w:rPr>
          <w:sz w:val="22"/>
          <w:szCs w:val="22"/>
        </w:rPr>
        <w:t xml:space="preserve"> in the </w:t>
      </w:r>
      <w:r>
        <w:rPr>
          <w:sz w:val="22"/>
          <w:szCs w:val="22"/>
        </w:rPr>
        <w:t>comparable period of</w:t>
      </w:r>
      <w:r w:rsidR="00FE68C6" w:rsidRPr="00591AE0">
        <w:rPr>
          <w:sz w:val="22"/>
          <w:szCs w:val="22"/>
        </w:rPr>
        <w:t xml:space="preserve"> 2021</w:t>
      </w:r>
      <w:r w:rsidR="00565826" w:rsidRPr="00591AE0">
        <w:rPr>
          <w:sz w:val="22"/>
          <w:szCs w:val="22"/>
        </w:rPr>
        <w:t xml:space="preserve">, inclusive of </w:t>
      </w:r>
      <w:r w:rsidR="00E46D0E" w:rsidRPr="00591AE0">
        <w:rPr>
          <w:sz w:val="22"/>
          <w:szCs w:val="22"/>
        </w:rPr>
        <w:t>$</w:t>
      </w:r>
      <w:r w:rsidR="00CC60F8">
        <w:rPr>
          <w:sz w:val="22"/>
          <w:szCs w:val="22"/>
        </w:rPr>
        <w:t>61</w:t>
      </w:r>
      <w:r w:rsidR="00E46D0E" w:rsidRPr="00591AE0">
        <w:rPr>
          <w:sz w:val="22"/>
          <w:szCs w:val="22"/>
        </w:rPr>
        <w:t>,000 of i</w:t>
      </w:r>
      <w:r w:rsidR="00E46D0E" w:rsidRPr="00CC60F8">
        <w:rPr>
          <w:sz w:val="22"/>
          <w:szCs w:val="22"/>
        </w:rPr>
        <w:t xml:space="preserve">ncreased stock </w:t>
      </w:r>
      <w:r w:rsidR="00E46D0E" w:rsidRPr="00CC60F8">
        <w:rPr>
          <w:sz w:val="22"/>
          <w:szCs w:val="22"/>
        </w:rPr>
        <w:lastRenderedPageBreak/>
        <w:t xml:space="preserve">compensation expense and </w:t>
      </w:r>
      <w:r w:rsidR="00CC60F8" w:rsidRPr="00CC60F8">
        <w:rPr>
          <w:sz w:val="22"/>
          <w:szCs w:val="22"/>
        </w:rPr>
        <w:t>the prior year quarter donation of IRNT shares of $1,318,000</w:t>
      </w:r>
      <w:r w:rsidRPr="00CC60F8">
        <w:rPr>
          <w:color w:val="000000"/>
          <w:sz w:val="22"/>
          <w:szCs w:val="22"/>
        </w:rPr>
        <w:t>.</w:t>
      </w:r>
      <w:r w:rsidR="00E46D0E" w:rsidRPr="00CC60F8">
        <w:rPr>
          <w:color w:val="000000"/>
          <w:sz w:val="22"/>
          <w:szCs w:val="22"/>
        </w:rPr>
        <w:t xml:space="preserve"> </w:t>
      </w:r>
      <w:r w:rsidR="00E46D0E" w:rsidRPr="00591AE0">
        <w:rPr>
          <w:color w:val="000000"/>
          <w:sz w:val="22"/>
          <w:szCs w:val="22"/>
        </w:rPr>
        <w:t xml:space="preserve">For the </w:t>
      </w:r>
      <w:r w:rsidR="00591AE0" w:rsidRPr="00591AE0">
        <w:rPr>
          <w:color w:val="000000"/>
          <w:sz w:val="22"/>
          <w:szCs w:val="22"/>
        </w:rPr>
        <w:t>nine</w:t>
      </w:r>
      <w:r w:rsidR="00E46D0E" w:rsidRPr="00591AE0">
        <w:rPr>
          <w:color w:val="000000"/>
          <w:sz w:val="22"/>
          <w:szCs w:val="22"/>
        </w:rPr>
        <w:t xml:space="preserve"> months</w:t>
      </w:r>
      <w:r>
        <w:rPr>
          <w:color w:val="000000"/>
          <w:sz w:val="22"/>
          <w:szCs w:val="22"/>
        </w:rPr>
        <w:t xml:space="preserve"> ended September 30, 2022</w:t>
      </w:r>
      <w:r w:rsidR="00E46D0E" w:rsidRPr="00591AE0">
        <w:rPr>
          <w:color w:val="000000"/>
          <w:sz w:val="22"/>
          <w:szCs w:val="22"/>
        </w:rPr>
        <w:t xml:space="preserve">, GAAP operating income was </w:t>
      </w:r>
      <w:r w:rsidR="00E46D0E" w:rsidRPr="00591AE0">
        <w:rPr>
          <w:sz w:val="22"/>
          <w:szCs w:val="22"/>
        </w:rPr>
        <w:t>$</w:t>
      </w:r>
      <w:r w:rsidR="000172F7">
        <w:rPr>
          <w:sz w:val="22"/>
          <w:szCs w:val="22"/>
        </w:rPr>
        <w:t>46</w:t>
      </w:r>
      <w:r w:rsidR="00591AE0" w:rsidRPr="00591AE0">
        <w:rPr>
          <w:sz w:val="22"/>
          <w:szCs w:val="22"/>
        </w:rPr>
        <w:t>6</w:t>
      </w:r>
      <w:r w:rsidR="00E46D0E" w:rsidRPr="00591AE0">
        <w:rPr>
          <w:sz w:val="22"/>
          <w:szCs w:val="22"/>
        </w:rPr>
        <w:t>,000 compared to</w:t>
      </w:r>
      <w:r>
        <w:rPr>
          <w:sz w:val="22"/>
          <w:szCs w:val="22"/>
        </w:rPr>
        <w:t xml:space="preserve"> a loss of</w:t>
      </w:r>
      <w:r w:rsidR="00E46D0E" w:rsidRPr="00591AE0">
        <w:rPr>
          <w:sz w:val="22"/>
          <w:szCs w:val="22"/>
        </w:rPr>
        <w:t xml:space="preserve"> </w:t>
      </w:r>
      <w:r w:rsidR="00591AE0" w:rsidRPr="00591AE0">
        <w:rPr>
          <w:sz w:val="22"/>
          <w:szCs w:val="22"/>
        </w:rPr>
        <w:t>(</w:t>
      </w:r>
      <w:r w:rsidR="00E46D0E" w:rsidRPr="00591AE0">
        <w:rPr>
          <w:sz w:val="22"/>
          <w:szCs w:val="22"/>
        </w:rPr>
        <w:t>$</w:t>
      </w:r>
      <w:r w:rsidR="00591AE0" w:rsidRPr="00591AE0">
        <w:rPr>
          <w:sz w:val="22"/>
          <w:szCs w:val="22"/>
        </w:rPr>
        <w:t>190</w:t>
      </w:r>
      <w:r w:rsidR="00E46D0E" w:rsidRPr="00591AE0">
        <w:rPr>
          <w:sz w:val="22"/>
          <w:szCs w:val="22"/>
        </w:rPr>
        <w:t>,000</w:t>
      </w:r>
      <w:r w:rsidR="00591AE0" w:rsidRPr="00591AE0">
        <w:rPr>
          <w:sz w:val="22"/>
          <w:szCs w:val="22"/>
        </w:rPr>
        <w:t>)</w:t>
      </w:r>
      <w:r w:rsidR="00E46D0E" w:rsidRPr="00591AE0">
        <w:rPr>
          <w:sz w:val="22"/>
          <w:szCs w:val="22"/>
        </w:rPr>
        <w:t xml:space="preserve"> in the comparable period of 2021</w:t>
      </w:r>
      <w:r w:rsidR="00702DAB" w:rsidRPr="00835D99">
        <w:rPr>
          <w:color w:val="000000"/>
          <w:sz w:val="22"/>
          <w:szCs w:val="22"/>
        </w:rPr>
        <w:t xml:space="preserve">. </w:t>
      </w:r>
      <w:r w:rsidR="00D825A4">
        <w:rPr>
          <w:color w:val="000000"/>
          <w:sz w:val="22"/>
          <w:szCs w:val="22"/>
        </w:rPr>
        <w:t>As explained above, t</w:t>
      </w:r>
      <w:r w:rsidR="00702DAB" w:rsidRPr="00835D99">
        <w:rPr>
          <w:color w:val="000000"/>
          <w:sz w:val="22"/>
          <w:szCs w:val="22"/>
        </w:rPr>
        <w:t xml:space="preserve">he increase reflects higher revenue </w:t>
      </w:r>
      <w:r w:rsidR="00D825A4">
        <w:rPr>
          <w:color w:val="000000"/>
          <w:sz w:val="22"/>
          <w:szCs w:val="22"/>
        </w:rPr>
        <w:t>with lower</w:t>
      </w:r>
      <w:r w:rsidR="00702DAB" w:rsidRPr="00835D99">
        <w:rPr>
          <w:color w:val="000000"/>
          <w:sz w:val="22"/>
          <w:szCs w:val="22"/>
        </w:rPr>
        <w:t xml:space="preserve"> margins partly offset by</w:t>
      </w:r>
      <w:r w:rsidR="00702DAB">
        <w:rPr>
          <w:color w:val="000000"/>
          <w:sz w:val="22"/>
          <w:szCs w:val="22"/>
        </w:rPr>
        <w:t xml:space="preserve"> </w:t>
      </w:r>
      <w:r w:rsidR="00702DAB" w:rsidRPr="00835D99">
        <w:rPr>
          <w:color w:val="000000"/>
          <w:sz w:val="22"/>
          <w:szCs w:val="22"/>
        </w:rPr>
        <w:t>inflationary pressures</w:t>
      </w:r>
      <w:r w:rsidR="00D825A4">
        <w:rPr>
          <w:color w:val="000000"/>
          <w:sz w:val="22"/>
          <w:szCs w:val="22"/>
        </w:rPr>
        <w:t>,</w:t>
      </w:r>
      <w:r w:rsidR="00E46D0E" w:rsidRPr="00591AE0">
        <w:rPr>
          <w:sz w:val="22"/>
          <w:szCs w:val="22"/>
        </w:rPr>
        <w:t xml:space="preserve"> $2</w:t>
      </w:r>
      <w:r w:rsidR="00591AE0" w:rsidRPr="00591AE0">
        <w:rPr>
          <w:sz w:val="22"/>
          <w:szCs w:val="22"/>
        </w:rPr>
        <w:t>67</w:t>
      </w:r>
      <w:r w:rsidR="00E46D0E" w:rsidRPr="00591AE0">
        <w:rPr>
          <w:sz w:val="22"/>
          <w:szCs w:val="22"/>
        </w:rPr>
        <w:t>,000 of increased stock compensation expense and $</w:t>
      </w:r>
      <w:r w:rsidR="006F29FF">
        <w:rPr>
          <w:sz w:val="22"/>
          <w:szCs w:val="22"/>
        </w:rPr>
        <w:t>575</w:t>
      </w:r>
      <w:r w:rsidR="00E46D0E" w:rsidRPr="00591AE0">
        <w:rPr>
          <w:sz w:val="22"/>
          <w:szCs w:val="22"/>
        </w:rPr>
        <w:t>,000 of Spin-Off costs</w:t>
      </w:r>
      <w:r w:rsidR="00794BAD">
        <w:rPr>
          <w:sz w:val="22"/>
          <w:szCs w:val="22"/>
        </w:rPr>
        <w:t xml:space="preserve"> </w:t>
      </w:r>
      <w:r w:rsidR="00601EBE">
        <w:rPr>
          <w:sz w:val="22"/>
          <w:szCs w:val="22"/>
        </w:rPr>
        <w:t xml:space="preserve">and the prior year donation of IRNT shares of $1,318,000 </w:t>
      </w:r>
      <w:r w:rsidR="00794BAD">
        <w:rPr>
          <w:sz w:val="22"/>
          <w:szCs w:val="22"/>
        </w:rPr>
        <w:t>for the nine months ended September 30, 2022</w:t>
      </w:r>
      <w:r w:rsidR="00E46D0E" w:rsidRPr="00591AE0">
        <w:rPr>
          <w:sz w:val="22"/>
          <w:szCs w:val="22"/>
        </w:rPr>
        <w:t>.</w:t>
      </w:r>
    </w:p>
    <w:p w14:paraId="2E185871" w14:textId="77777777" w:rsidR="00702DAB" w:rsidRDefault="00702DAB" w:rsidP="00E97AE3">
      <w:pPr>
        <w:pStyle w:val="Normal0"/>
        <w:jc w:val="both"/>
        <w:rPr>
          <w:sz w:val="22"/>
          <w:szCs w:val="22"/>
        </w:rPr>
      </w:pPr>
    </w:p>
    <w:p w14:paraId="7705B293" w14:textId="77777777" w:rsidR="00633FAE" w:rsidRPr="00BE3817" w:rsidRDefault="00000000" w:rsidP="00633FAE">
      <w:pPr>
        <w:pStyle w:val="Normal0"/>
        <w:spacing w:after="120"/>
        <w:jc w:val="both"/>
        <w:rPr>
          <w:sz w:val="22"/>
          <w:szCs w:val="22"/>
        </w:rPr>
      </w:pPr>
      <w:r w:rsidRPr="00BC1FA7">
        <w:rPr>
          <w:sz w:val="22"/>
          <w:szCs w:val="22"/>
        </w:rPr>
        <w:t xml:space="preserve">Other (expense) income, net was ($2,083) </w:t>
      </w:r>
      <w:r>
        <w:rPr>
          <w:sz w:val="22"/>
          <w:szCs w:val="22"/>
        </w:rPr>
        <w:t>for</w:t>
      </w:r>
      <w:r w:rsidRPr="00BC1FA7">
        <w:rPr>
          <w:sz w:val="22"/>
          <w:szCs w:val="22"/>
        </w:rPr>
        <w:t xml:space="preserve"> the </w:t>
      </w:r>
      <w:r>
        <w:rPr>
          <w:sz w:val="22"/>
          <w:szCs w:val="22"/>
        </w:rPr>
        <w:t>three</w:t>
      </w:r>
      <w:r w:rsidRPr="00BC1FA7">
        <w:rPr>
          <w:sz w:val="22"/>
          <w:szCs w:val="22"/>
        </w:rPr>
        <w:t xml:space="preserve"> months ended September 30, 2022 compared to </w:t>
      </w:r>
      <w:r>
        <w:rPr>
          <w:sz w:val="22"/>
          <w:szCs w:val="22"/>
        </w:rPr>
        <w:t>$</w:t>
      </w:r>
      <w:r w:rsidRPr="00BC1FA7">
        <w:rPr>
          <w:sz w:val="22"/>
          <w:szCs w:val="22"/>
        </w:rPr>
        <w:t>41,575 in the prior year quarter</w:t>
      </w:r>
      <w:r>
        <w:rPr>
          <w:sz w:val="22"/>
          <w:szCs w:val="22"/>
        </w:rPr>
        <w:t xml:space="preserve">. </w:t>
      </w:r>
      <w:r w:rsidR="00E97AE3" w:rsidRPr="00BE3817">
        <w:rPr>
          <w:sz w:val="22"/>
          <w:szCs w:val="22"/>
        </w:rPr>
        <w:t xml:space="preserve">For the period ending September 30, 2021, LGL recorded a significant non-recurring item in its receipt of NYSE listed </w:t>
      </w:r>
      <w:r w:rsidR="00E97AE3">
        <w:rPr>
          <w:sz w:val="22"/>
          <w:szCs w:val="22"/>
        </w:rPr>
        <w:t>e</w:t>
      </w:r>
      <w:r w:rsidR="00E97AE3" w:rsidRPr="00BE3817">
        <w:rPr>
          <w:sz w:val="22"/>
          <w:szCs w:val="22"/>
        </w:rPr>
        <w:t xml:space="preserve">quity from its investment in a SPAC sponsor. During the three and nine months ended </w:t>
      </w:r>
      <w:r w:rsidR="00E97AE3">
        <w:rPr>
          <w:sz w:val="22"/>
          <w:szCs w:val="22"/>
        </w:rPr>
        <w:t xml:space="preserve">September 30, 2021 </w:t>
      </w:r>
      <w:r w:rsidR="00E97AE3" w:rsidRPr="00BE3817">
        <w:rPr>
          <w:sz w:val="22"/>
          <w:szCs w:val="22"/>
        </w:rPr>
        <w:t>the company recognized gains of $59.5 million and $60.2 million respectively on its equity investment in an unconsolidated subsidiary.</w:t>
      </w:r>
      <w:r w:rsidR="00E97AE3">
        <w:rPr>
          <w:sz w:val="22"/>
          <w:szCs w:val="22"/>
        </w:rPr>
        <w:t xml:space="preserve"> </w:t>
      </w:r>
      <w:r w:rsidR="00855C01" w:rsidRPr="00633FAE">
        <w:rPr>
          <w:sz w:val="22"/>
          <w:szCs w:val="22"/>
        </w:rPr>
        <w:t xml:space="preserve">Investment </w:t>
      </w:r>
      <w:r w:rsidR="00701DD7" w:rsidRPr="00633FAE">
        <w:rPr>
          <w:sz w:val="22"/>
          <w:szCs w:val="22"/>
        </w:rPr>
        <w:t xml:space="preserve">loss </w:t>
      </w:r>
      <w:r w:rsidR="00855C01" w:rsidRPr="00633FAE">
        <w:rPr>
          <w:sz w:val="22"/>
          <w:szCs w:val="22"/>
        </w:rPr>
        <w:t>was $</w:t>
      </w:r>
      <w:r w:rsidR="00CC60F8" w:rsidRPr="00633FAE">
        <w:rPr>
          <w:sz w:val="22"/>
          <w:szCs w:val="22"/>
        </w:rPr>
        <w:t>4.4</w:t>
      </w:r>
      <w:r w:rsidR="00D51068" w:rsidRPr="00633FAE">
        <w:rPr>
          <w:sz w:val="22"/>
          <w:szCs w:val="22"/>
        </w:rPr>
        <w:t xml:space="preserve"> million</w:t>
      </w:r>
      <w:r w:rsidR="00855C01" w:rsidRPr="00633FAE">
        <w:rPr>
          <w:sz w:val="22"/>
          <w:szCs w:val="22"/>
        </w:rPr>
        <w:t xml:space="preserve"> </w:t>
      </w:r>
      <w:r w:rsidR="00701DD7" w:rsidRPr="00633FAE">
        <w:rPr>
          <w:sz w:val="22"/>
          <w:szCs w:val="22"/>
        </w:rPr>
        <w:t xml:space="preserve">for the </w:t>
      </w:r>
      <w:r w:rsidR="00CC60F8" w:rsidRPr="00633FAE">
        <w:rPr>
          <w:sz w:val="22"/>
          <w:szCs w:val="22"/>
        </w:rPr>
        <w:t>nine</w:t>
      </w:r>
      <w:r w:rsidR="00701DD7" w:rsidRPr="00633FAE">
        <w:rPr>
          <w:sz w:val="22"/>
          <w:szCs w:val="22"/>
        </w:rPr>
        <w:t xml:space="preserve"> months ended</w:t>
      </w:r>
      <w:r w:rsidR="00CC60F8" w:rsidRPr="00633FAE">
        <w:rPr>
          <w:sz w:val="22"/>
          <w:szCs w:val="22"/>
        </w:rPr>
        <w:t xml:space="preserve"> September</w:t>
      </w:r>
      <w:r w:rsidR="00701DD7" w:rsidRPr="00633FAE">
        <w:rPr>
          <w:sz w:val="22"/>
          <w:szCs w:val="22"/>
        </w:rPr>
        <w:t xml:space="preserve"> 30, 2022 </w:t>
      </w:r>
      <w:r w:rsidR="00855C01" w:rsidRPr="00633FAE">
        <w:rPr>
          <w:sz w:val="22"/>
          <w:szCs w:val="22"/>
        </w:rPr>
        <w:t>compared to $</w:t>
      </w:r>
      <w:r w:rsidR="00CC60F8" w:rsidRPr="00633FAE">
        <w:rPr>
          <w:sz w:val="22"/>
          <w:szCs w:val="22"/>
        </w:rPr>
        <w:t>18</w:t>
      </w:r>
      <w:r w:rsidRPr="00633FAE">
        <w:rPr>
          <w:sz w:val="22"/>
          <w:szCs w:val="22"/>
        </w:rPr>
        <w:t>.7 million</w:t>
      </w:r>
      <w:r w:rsidR="00855C01" w:rsidRPr="00633FAE">
        <w:rPr>
          <w:sz w:val="22"/>
          <w:szCs w:val="22"/>
        </w:rPr>
        <w:t xml:space="preserve"> for the </w:t>
      </w:r>
      <w:r w:rsidR="00CC60F8" w:rsidRPr="00633FAE">
        <w:rPr>
          <w:sz w:val="22"/>
          <w:szCs w:val="22"/>
        </w:rPr>
        <w:t>nine</w:t>
      </w:r>
      <w:r w:rsidR="00701DD7" w:rsidRPr="00633FAE">
        <w:rPr>
          <w:sz w:val="22"/>
          <w:szCs w:val="22"/>
        </w:rPr>
        <w:t xml:space="preserve"> months ended </w:t>
      </w:r>
      <w:r w:rsidR="00CC60F8" w:rsidRPr="00633FAE">
        <w:rPr>
          <w:sz w:val="22"/>
          <w:szCs w:val="22"/>
        </w:rPr>
        <w:t>September</w:t>
      </w:r>
      <w:r w:rsidR="00701DD7" w:rsidRPr="00633FAE">
        <w:rPr>
          <w:sz w:val="22"/>
          <w:szCs w:val="22"/>
        </w:rPr>
        <w:t xml:space="preserve"> 30, 2021</w:t>
      </w:r>
      <w:r w:rsidRPr="00633FAE">
        <w:rPr>
          <w:sz w:val="22"/>
          <w:szCs w:val="22"/>
        </w:rPr>
        <w:t>.</w:t>
      </w:r>
      <w:r w:rsidR="00701DD7" w:rsidRPr="00633FAE">
        <w:rPr>
          <w:sz w:val="22"/>
          <w:szCs w:val="22"/>
        </w:rPr>
        <w:t xml:space="preserve"> </w:t>
      </w:r>
      <w:r w:rsidRPr="00633FAE">
        <w:rPr>
          <w:sz w:val="22"/>
          <w:szCs w:val="22"/>
        </w:rPr>
        <w:t>The investment loss for the nine months ended September 30, 2022 was primarily related to IRNT related investment losses of $3</w:t>
      </w:r>
      <w:r>
        <w:rPr>
          <w:sz w:val="22"/>
          <w:szCs w:val="22"/>
        </w:rPr>
        <w:t>.</w:t>
      </w:r>
      <w:r w:rsidR="006F29FF">
        <w:rPr>
          <w:sz w:val="22"/>
          <w:szCs w:val="22"/>
        </w:rPr>
        <w:t xml:space="preserve">8 </w:t>
      </w:r>
      <w:r>
        <w:rPr>
          <w:sz w:val="22"/>
          <w:szCs w:val="22"/>
        </w:rPr>
        <w:t>million</w:t>
      </w:r>
      <w:r w:rsidRPr="00633FAE">
        <w:rPr>
          <w:sz w:val="22"/>
          <w:szCs w:val="22"/>
        </w:rPr>
        <w:t xml:space="preserve"> (realized and unrealized) and unrealized investment losses of $661,000 from the remainder of the portfolio. During the nine months ended September 30, 2021, unrealized loss on marketable securities was $18</w:t>
      </w:r>
      <w:r>
        <w:rPr>
          <w:sz w:val="22"/>
          <w:szCs w:val="22"/>
        </w:rPr>
        <w:t xml:space="preserve">.7 million </w:t>
      </w:r>
      <w:r w:rsidR="00BE3817">
        <w:rPr>
          <w:sz w:val="22"/>
          <w:szCs w:val="22"/>
        </w:rPr>
        <w:t>in</w:t>
      </w:r>
      <w:r w:rsidR="00BE3817" w:rsidRPr="00633FAE">
        <w:rPr>
          <w:sz w:val="22"/>
          <w:szCs w:val="22"/>
        </w:rPr>
        <w:t xml:space="preserve">cluding </w:t>
      </w:r>
      <w:r w:rsidRPr="00633FAE">
        <w:rPr>
          <w:sz w:val="22"/>
          <w:szCs w:val="22"/>
        </w:rPr>
        <w:t>the loss of $19</w:t>
      </w:r>
      <w:r>
        <w:rPr>
          <w:sz w:val="22"/>
          <w:szCs w:val="22"/>
        </w:rPr>
        <w:t xml:space="preserve">.8 </w:t>
      </w:r>
      <w:r w:rsidRPr="00BE3817">
        <w:rPr>
          <w:sz w:val="22"/>
          <w:szCs w:val="22"/>
        </w:rPr>
        <w:t>million from the change in fair value of IRNT security holdings from the date of Sponsor distribution through the end of the third quarter, and the $940,000 gain from derivative transactions related to IRNT securities and an unrealized gain of $174,000.</w:t>
      </w:r>
      <w:r w:rsidR="00DF1F90" w:rsidRPr="00BE3817">
        <w:rPr>
          <w:sz w:val="22"/>
          <w:szCs w:val="22"/>
        </w:rPr>
        <w:t xml:space="preserve"> </w:t>
      </w:r>
    </w:p>
    <w:p w14:paraId="30A0B534" w14:textId="77777777" w:rsidR="0006424D" w:rsidRPr="009C01CF" w:rsidRDefault="00000000" w:rsidP="0006424D">
      <w:pPr>
        <w:pStyle w:val="Normal0"/>
        <w:spacing w:after="120"/>
        <w:jc w:val="both"/>
        <w:rPr>
          <w:sz w:val="22"/>
          <w:szCs w:val="22"/>
        </w:rPr>
      </w:pPr>
      <w:r w:rsidRPr="009C01CF">
        <w:rPr>
          <w:sz w:val="22"/>
          <w:szCs w:val="22"/>
        </w:rPr>
        <w:t>Net loss was $</w:t>
      </w:r>
      <w:r w:rsidR="000172F7" w:rsidRPr="009C01CF">
        <w:rPr>
          <w:sz w:val="22"/>
          <w:szCs w:val="22"/>
        </w:rPr>
        <w:t>3</w:t>
      </w:r>
      <w:r w:rsidR="00D51068" w:rsidRPr="009C01CF">
        <w:rPr>
          <w:sz w:val="22"/>
          <w:szCs w:val="22"/>
        </w:rPr>
        <w:t>.</w:t>
      </w:r>
      <w:r w:rsidR="000172F7" w:rsidRPr="009C01CF">
        <w:rPr>
          <w:sz w:val="22"/>
          <w:szCs w:val="22"/>
        </w:rPr>
        <w:t>1</w:t>
      </w:r>
      <w:r w:rsidR="00D51068" w:rsidRPr="009C01CF">
        <w:rPr>
          <w:sz w:val="22"/>
          <w:szCs w:val="22"/>
        </w:rPr>
        <w:t xml:space="preserve"> million</w:t>
      </w:r>
      <w:r w:rsidRPr="009C01CF">
        <w:rPr>
          <w:sz w:val="22"/>
          <w:szCs w:val="22"/>
        </w:rPr>
        <w:t xml:space="preserve"> for the </w:t>
      </w:r>
      <w:r w:rsidR="000720E1" w:rsidRPr="009C01CF">
        <w:rPr>
          <w:sz w:val="22"/>
          <w:szCs w:val="22"/>
        </w:rPr>
        <w:t>nine</w:t>
      </w:r>
      <w:r w:rsidRPr="009C01CF">
        <w:rPr>
          <w:sz w:val="22"/>
          <w:szCs w:val="22"/>
        </w:rPr>
        <w:t xml:space="preserve"> months ended </w:t>
      </w:r>
      <w:r w:rsidR="000720E1" w:rsidRPr="009C01CF">
        <w:rPr>
          <w:sz w:val="22"/>
          <w:szCs w:val="22"/>
        </w:rPr>
        <w:t xml:space="preserve">September </w:t>
      </w:r>
      <w:r w:rsidRPr="009C01CF">
        <w:rPr>
          <w:sz w:val="22"/>
          <w:szCs w:val="22"/>
        </w:rPr>
        <w:t>30, 2022, compared to income of $</w:t>
      </w:r>
      <w:r w:rsidR="000720E1" w:rsidRPr="009C01CF">
        <w:rPr>
          <w:sz w:val="22"/>
          <w:szCs w:val="22"/>
        </w:rPr>
        <w:t xml:space="preserve">31.8 million </w:t>
      </w:r>
      <w:r w:rsidRPr="009C01CF">
        <w:rPr>
          <w:sz w:val="22"/>
          <w:szCs w:val="22"/>
        </w:rPr>
        <w:t xml:space="preserve">for the comparable prior year period. </w:t>
      </w:r>
      <w:r w:rsidR="000720E1" w:rsidRPr="009C01CF">
        <w:rPr>
          <w:sz w:val="22"/>
          <w:szCs w:val="22"/>
        </w:rPr>
        <w:t>The decrease was primarily from the previously discussed investment gain offset by one-time Spin-Off costs. Diluted net (loss) income per share for the nine months ended September 30, 2022 and 2021 was $(0.5</w:t>
      </w:r>
      <w:r w:rsidR="000172F7" w:rsidRPr="009C01CF">
        <w:rPr>
          <w:sz w:val="22"/>
          <w:szCs w:val="22"/>
        </w:rPr>
        <w:t>8</w:t>
      </w:r>
      <w:r w:rsidR="000720E1" w:rsidRPr="009C01CF">
        <w:rPr>
          <w:sz w:val="22"/>
          <w:szCs w:val="22"/>
        </w:rPr>
        <w:t>) and $5.96, respectively.</w:t>
      </w:r>
    </w:p>
    <w:p w14:paraId="205452DA" w14:textId="77777777" w:rsidR="00B91B37" w:rsidRPr="00BE3817" w:rsidRDefault="00000000" w:rsidP="00B91B37">
      <w:pPr>
        <w:pStyle w:val="Normal0"/>
        <w:spacing w:after="120"/>
        <w:jc w:val="both"/>
        <w:rPr>
          <w:color w:val="000000"/>
          <w:sz w:val="22"/>
          <w:szCs w:val="22"/>
        </w:rPr>
      </w:pPr>
      <w:r w:rsidRPr="00BE3817">
        <w:rPr>
          <w:sz w:val="22"/>
          <w:szCs w:val="22"/>
        </w:rPr>
        <w:t>A</w:t>
      </w:r>
      <w:r w:rsidR="0006424D" w:rsidRPr="00BE3817">
        <w:rPr>
          <w:sz w:val="22"/>
          <w:szCs w:val="22"/>
        </w:rPr>
        <w:t>djusted EBITDA, a non-GAAP measure, was $</w:t>
      </w:r>
      <w:r w:rsidR="0074173C" w:rsidRPr="00BE3817">
        <w:rPr>
          <w:sz w:val="22"/>
          <w:szCs w:val="22"/>
        </w:rPr>
        <w:t>1</w:t>
      </w:r>
      <w:r w:rsidR="00D51068" w:rsidRPr="00BE3817">
        <w:rPr>
          <w:sz w:val="22"/>
          <w:szCs w:val="22"/>
        </w:rPr>
        <w:t>.</w:t>
      </w:r>
      <w:r w:rsidR="000172F7" w:rsidRPr="00BE3817">
        <w:rPr>
          <w:sz w:val="22"/>
          <w:szCs w:val="22"/>
        </w:rPr>
        <w:t>9</w:t>
      </w:r>
      <w:r w:rsidR="00D51068" w:rsidRPr="00BE3817">
        <w:rPr>
          <w:sz w:val="22"/>
          <w:szCs w:val="22"/>
        </w:rPr>
        <w:t xml:space="preserve"> million </w:t>
      </w:r>
      <w:r w:rsidR="0074173C" w:rsidRPr="00BE3817">
        <w:rPr>
          <w:sz w:val="22"/>
          <w:szCs w:val="22"/>
        </w:rPr>
        <w:t xml:space="preserve">for the </w:t>
      </w:r>
      <w:r w:rsidR="00053CF9" w:rsidRPr="00BE3817">
        <w:rPr>
          <w:sz w:val="22"/>
          <w:szCs w:val="22"/>
        </w:rPr>
        <w:t xml:space="preserve">nine </w:t>
      </w:r>
      <w:r w:rsidR="0074173C" w:rsidRPr="00BE3817">
        <w:rPr>
          <w:sz w:val="22"/>
          <w:szCs w:val="22"/>
        </w:rPr>
        <w:t xml:space="preserve">months ended </w:t>
      </w:r>
      <w:r w:rsidR="00053CF9" w:rsidRPr="00BE3817">
        <w:rPr>
          <w:sz w:val="22"/>
          <w:szCs w:val="22"/>
        </w:rPr>
        <w:t>September</w:t>
      </w:r>
      <w:r w:rsidR="0074173C" w:rsidRPr="00BE3817">
        <w:rPr>
          <w:sz w:val="22"/>
          <w:szCs w:val="22"/>
        </w:rPr>
        <w:t xml:space="preserve"> 30, 2022 </w:t>
      </w:r>
      <w:r w:rsidR="0006424D" w:rsidRPr="00BE3817">
        <w:rPr>
          <w:color w:val="000000"/>
          <w:sz w:val="22"/>
          <w:szCs w:val="22"/>
        </w:rPr>
        <w:t xml:space="preserve">versus </w:t>
      </w:r>
      <w:r w:rsidR="0006424D" w:rsidRPr="00BE3817">
        <w:rPr>
          <w:sz w:val="22"/>
          <w:szCs w:val="22"/>
        </w:rPr>
        <w:t>$</w:t>
      </w:r>
      <w:r w:rsidR="00BE23FA">
        <w:rPr>
          <w:sz w:val="22"/>
          <w:szCs w:val="22"/>
        </w:rPr>
        <w:t>1.7</w:t>
      </w:r>
      <w:r w:rsidR="00252D11">
        <w:rPr>
          <w:sz w:val="22"/>
          <w:szCs w:val="22"/>
        </w:rPr>
        <w:t xml:space="preserve"> million</w:t>
      </w:r>
      <w:r w:rsidR="0006424D" w:rsidRPr="00BE3817">
        <w:rPr>
          <w:color w:val="000000"/>
          <w:sz w:val="22"/>
          <w:szCs w:val="22"/>
        </w:rPr>
        <w:t xml:space="preserve"> </w:t>
      </w:r>
      <w:r w:rsidR="0074173C" w:rsidRPr="00BE3817">
        <w:rPr>
          <w:color w:val="000000"/>
          <w:sz w:val="22"/>
          <w:szCs w:val="22"/>
        </w:rPr>
        <w:t xml:space="preserve">for the </w:t>
      </w:r>
      <w:r w:rsidR="00053CF9" w:rsidRPr="00BE3817">
        <w:rPr>
          <w:color w:val="000000"/>
          <w:sz w:val="22"/>
          <w:szCs w:val="22"/>
        </w:rPr>
        <w:t>nine</w:t>
      </w:r>
      <w:r w:rsidR="0074173C" w:rsidRPr="00BE3817">
        <w:rPr>
          <w:color w:val="000000"/>
          <w:sz w:val="22"/>
          <w:szCs w:val="22"/>
        </w:rPr>
        <w:t xml:space="preserve"> months ended </w:t>
      </w:r>
      <w:r w:rsidR="00053CF9" w:rsidRPr="00BE3817">
        <w:rPr>
          <w:color w:val="000000"/>
          <w:sz w:val="22"/>
          <w:szCs w:val="22"/>
        </w:rPr>
        <w:t>September</w:t>
      </w:r>
      <w:r w:rsidR="0074173C" w:rsidRPr="00BE3817">
        <w:rPr>
          <w:color w:val="000000"/>
          <w:sz w:val="22"/>
          <w:szCs w:val="22"/>
        </w:rPr>
        <w:t xml:space="preserve"> 30, </w:t>
      </w:r>
      <w:r w:rsidR="0006424D" w:rsidRPr="00BE3817">
        <w:rPr>
          <w:color w:val="000000"/>
          <w:sz w:val="22"/>
          <w:szCs w:val="22"/>
        </w:rPr>
        <w:t>202</w:t>
      </w:r>
      <w:r w:rsidR="00E20805" w:rsidRPr="00BE3817">
        <w:rPr>
          <w:color w:val="000000"/>
          <w:sz w:val="22"/>
          <w:szCs w:val="22"/>
        </w:rPr>
        <w:t>1</w:t>
      </w:r>
      <w:r w:rsidR="0006424D" w:rsidRPr="00BE3817">
        <w:rPr>
          <w:color w:val="000000"/>
          <w:sz w:val="22"/>
          <w:szCs w:val="22"/>
        </w:rPr>
        <w:t xml:space="preserve">. </w:t>
      </w:r>
      <w:bookmarkStart w:id="1" w:name="_Hlk110950171"/>
      <w:r w:rsidR="00B97914" w:rsidRPr="00BE3817">
        <w:rPr>
          <w:color w:val="000000"/>
          <w:sz w:val="22"/>
          <w:szCs w:val="22"/>
        </w:rPr>
        <w:t xml:space="preserve">Adjusted EBITDA excludes </w:t>
      </w:r>
      <w:r w:rsidR="006F29FF" w:rsidRPr="00BE3817">
        <w:rPr>
          <w:color w:val="000000"/>
          <w:sz w:val="22"/>
          <w:szCs w:val="22"/>
        </w:rPr>
        <w:t>non-recurring</w:t>
      </w:r>
      <w:r w:rsidR="005656D7" w:rsidRPr="00BE3817">
        <w:rPr>
          <w:color w:val="000000"/>
          <w:sz w:val="22"/>
          <w:szCs w:val="22"/>
        </w:rPr>
        <w:t xml:space="preserve"> and non-operating items to present solely the core operating results </w:t>
      </w:r>
      <w:bookmarkEnd w:id="1"/>
      <w:r w:rsidR="0006424D" w:rsidRPr="00BE3817">
        <w:rPr>
          <w:color w:val="000000"/>
          <w:sz w:val="22"/>
          <w:szCs w:val="22"/>
        </w:rPr>
        <w:t>(</w:t>
      </w:r>
      <w:r w:rsidR="0006424D" w:rsidRPr="00BE3817">
        <w:rPr>
          <w:i/>
          <w:iCs/>
          <w:color w:val="000000"/>
          <w:sz w:val="22"/>
          <w:szCs w:val="22"/>
        </w:rPr>
        <w:t>See non-GAAP reconciliation in the Appendix</w:t>
      </w:r>
      <w:r w:rsidR="0006424D" w:rsidRPr="00BE3817">
        <w:rPr>
          <w:color w:val="000000"/>
          <w:sz w:val="22"/>
          <w:szCs w:val="22"/>
        </w:rPr>
        <w:t>)</w:t>
      </w:r>
      <w:r w:rsidR="006F29FF" w:rsidRPr="00BE3817">
        <w:rPr>
          <w:color w:val="000000"/>
          <w:sz w:val="22"/>
          <w:szCs w:val="22"/>
        </w:rPr>
        <w:t>.</w:t>
      </w:r>
    </w:p>
    <w:p w14:paraId="5DFB2932" w14:textId="77777777" w:rsidR="00B00880" w:rsidRPr="00053CF9" w:rsidRDefault="00000000" w:rsidP="00B00880">
      <w:pPr>
        <w:pStyle w:val="Normal0"/>
        <w:spacing w:after="120"/>
        <w:jc w:val="both"/>
        <w:rPr>
          <w:color w:val="000000"/>
          <w:sz w:val="22"/>
          <w:szCs w:val="22"/>
        </w:rPr>
      </w:pPr>
      <w:r>
        <w:rPr>
          <w:color w:val="000000"/>
          <w:sz w:val="22"/>
          <w:szCs w:val="22"/>
        </w:rPr>
        <w:t>Prior to the Spin-Off and at September 30, 2022, t</w:t>
      </w:r>
      <w:r w:rsidRPr="00BE3817">
        <w:rPr>
          <w:color w:val="000000"/>
          <w:sz w:val="22"/>
          <w:szCs w:val="22"/>
        </w:rPr>
        <w:t>he Company ha</w:t>
      </w:r>
      <w:r>
        <w:rPr>
          <w:color w:val="000000"/>
          <w:sz w:val="22"/>
          <w:szCs w:val="22"/>
        </w:rPr>
        <w:t>d</w:t>
      </w:r>
      <w:r w:rsidRPr="00BE3817">
        <w:rPr>
          <w:color w:val="000000"/>
          <w:sz w:val="22"/>
          <w:szCs w:val="22"/>
        </w:rPr>
        <w:t xml:space="preserve"> two reportable business segments; electronic</w:t>
      </w:r>
      <w:r w:rsidRPr="00053CF9">
        <w:rPr>
          <w:color w:val="000000"/>
          <w:sz w:val="22"/>
          <w:szCs w:val="22"/>
        </w:rPr>
        <w:t xml:space="preserve"> components</w:t>
      </w:r>
      <w:r w:rsidR="00B97914" w:rsidRPr="00053CF9">
        <w:rPr>
          <w:color w:val="000000"/>
          <w:sz w:val="22"/>
          <w:szCs w:val="22"/>
        </w:rPr>
        <w:t xml:space="preserve"> consisting of MtronPT</w:t>
      </w:r>
      <w:r w:rsidRPr="00053CF9">
        <w:rPr>
          <w:color w:val="000000"/>
          <w:sz w:val="22"/>
          <w:szCs w:val="22"/>
        </w:rPr>
        <w:t xml:space="preserve">I, and electronic instruments </w:t>
      </w:r>
      <w:r w:rsidR="00B97914" w:rsidRPr="00053CF9">
        <w:rPr>
          <w:color w:val="000000"/>
          <w:sz w:val="22"/>
          <w:szCs w:val="22"/>
        </w:rPr>
        <w:t xml:space="preserve">consisting of Precise Time and Frequency </w:t>
      </w:r>
      <w:r w:rsidRPr="00053CF9">
        <w:rPr>
          <w:color w:val="000000"/>
          <w:sz w:val="22"/>
          <w:szCs w:val="22"/>
        </w:rPr>
        <w:t>(</w:t>
      </w:r>
      <w:r w:rsidR="00B97914" w:rsidRPr="00053CF9">
        <w:rPr>
          <w:color w:val="000000"/>
          <w:sz w:val="22"/>
          <w:szCs w:val="22"/>
        </w:rPr>
        <w:t>“</w:t>
      </w:r>
      <w:r w:rsidRPr="00053CF9">
        <w:rPr>
          <w:color w:val="000000"/>
          <w:sz w:val="22"/>
          <w:szCs w:val="22"/>
        </w:rPr>
        <w:t>PTF</w:t>
      </w:r>
      <w:r w:rsidR="00B97914" w:rsidRPr="00053CF9">
        <w:rPr>
          <w:color w:val="000000"/>
          <w:sz w:val="22"/>
          <w:szCs w:val="22"/>
        </w:rPr>
        <w:t>”</w:t>
      </w:r>
      <w:r w:rsidRPr="00053CF9">
        <w:rPr>
          <w:color w:val="000000"/>
          <w:sz w:val="22"/>
          <w:szCs w:val="22"/>
        </w:rPr>
        <w:t>). The electronic components segment is focused on the design, manufacture and marketing of highly-engineered, high reliability frequency and spectrum control products. These electronic components ensure reliability and security in aerospace and defense communications, low noise and base accuracy for laboratory instruments, and synchronous data transfers throughout the wireless and Internet infrastructure. The electronic instruments segment</w:t>
      </w:r>
      <w:r w:rsidR="00B97914" w:rsidRPr="00053CF9">
        <w:rPr>
          <w:color w:val="000000"/>
          <w:sz w:val="22"/>
          <w:szCs w:val="22"/>
        </w:rPr>
        <w:t xml:space="preserve">, or PTF, </w:t>
      </w:r>
      <w:r w:rsidRPr="00053CF9">
        <w:rPr>
          <w:color w:val="000000"/>
          <w:sz w:val="22"/>
          <w:szCs w:val="22"/>
        </w:rPr>
        <w:t>is focused on the design and manufacture of high performance Frequency and Time Reference Standards that form the basis for timing and synchronization in various applications. </w:t>
      </w:r>
    </w:p>
    <w:p w14:paraId="07683F41" w14:textId="77777777" w:rsidR="00B00880" w:rsidRPr="00B00880" w:rsidRDefault="00000000" w:rsidP="000D2AD3">
      <w:pPr>
        <w:pStyle w:val="Normal0"/>
        <w:keepNext/>
        <w:keepLines/>
        <w:spacing w:after="120"/>
        <w:jc w:val="both"/>
        <w:rPr>
          <w:color w:val="000000"/>
          <w:sz w:val="22"/>
          <w:szCs w:val="22"/>
        </w:rPr>
      </w:pPr>
      <w:r w:rsidRPr="00053CF9">
        <w:rPr>
          <w:color w:val="000000"/>
          <w:sz w:val="22"/>
          <w:szCs w:val="22"/>
        </w:rPr>
        <w:lastRenderedPageBreak/>
        <w:t>Business segment information follows (in thousands):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0" w:type="dxa"/>
          <w:right w:w="15" w:type="dxa"/>
        </w:tblCellMar>
        <w:tblLook w:val="04A0" w:firstRow="1" w:lastRow="0" w:firstColumn="1" w:lastColumn="0" w:noHBand="0" w:noVBand="1"/>
      </w:tblPr>
      <w:tblGrid>
        <w:gridCol w:w="4104"/>
        <w:gridCol w:w="128"/>
        <w:gridCol w:w="115"/>
        <w:gridCol w:w="981"/>
        <w:gridCol w:w="87"/>
        <w:gridCol w:w="128"/>
        <w:gridCol w:w="115"/>
        <w:gridCol w:w="984"/>
        <w:gridCol w:w="88"/>
        <w:gridCol w:w="129"/>
        <w:gridCol w:w="115"/>
        <w:gridCol w:w="982"/>
        <w:gridCol w:w="88"/>
        <w:gridCol w:w="129"/>
        <w:gridCol w:w="115"/>
        <w:gridCol w:w="984"/>
        <w:gridCol w:w="88"/>
      </w:tblGrid>
      <w:tr w:rsidR="003116D1" w14:paraId="3950C7DC" w14:textId="77777777">
        <w:trPr>
          <w:cantSplit/>
          <w:jc w:val="center"/>
        </w:trPr>
        <w:tc>
          <w:tcPr>
            <w:tcW w:w="2195" w:type="pct"/>
            <w:shd w:val="clear" w:color="auto" w:fill="FFFFFF"/>
            <w:tcMar>
              <w:top w:w="15" w:type="dxa"/>
              <w:left w:w="0" w:type="dxa"/>
              <w:bottom w:w="0" w:type="dxa"/>
              <w:right w:w="15" w:type="dxa"/>
            </w:tcMar>
            <w:vAlign w:val="bottom"/>
          </w:tcPr>
          <w:p w14:paraId="454F5D28" w14:textId="77777777" w:rsidR="009A5AEC" w:rsidRDefault="00000000">
            <w:pPr>
              <w:pStyle w:val="Normal0"/>
              <w:keepNext/>
              <w:jc w:val="center"/>
              <w:rPr>
                <w:b/>
                <w:color w:val="000000"/>
                <w:sz w:val="16"/>
              </w:rPr>
            </w:pPr>
            <w:r>
              <w:t xml:space="preserve"> </w:t>
            </w:r>
          </w:p>
        </w:tc>
        <w:tc>
          <w:tcPr>
            <w:tcW w:w="72" w:type="pct"/>
            <w:shd w:val="clear" w:color="auto" w:fill="FFFFFF"/>
            <w:tcMar>
              <w:top w:w="15" w:type="dxa"/>
              <w:left w:w="0" w:type="dxa"/>
              <w:bottom w:w="0" w:type="dxa"/>
              <w:right w:w="15" w:type="dxa"/>
            </w:tcMar>
            <w:vAlign w:val="bottom"/>
          </w:tcPr>
          <w:p w14:paraId="10B59862" w14:textId="77777777" w:rsidR="009A5AEC" w:rsidRDefault="00000000">
            <w:pPr>
              <w:pStyle w:val="Normal0"/>
              <w:rPr>
                <w:b/>
                <w:color w:val="000000"/>
                <w:sz w:val="16"/>
              </w:rPr>
            </w:pPr>
            <w:r>
              <w:rPr>
                <w:b/>
                <w:color w:val="000000"/>
                <w:sz w:val="16"/>
              </w:rPr>
              <w:t xml:space="preserve"> </w:t>
            </w:r>
          </w:p>
        </w:tc>
        <w:tc>
          <w:tcPr>
            <w:tcW w:w="1279" w:type="pct"/>
            <w:gridSpan w:val="6"/>
            <w:tcBorders>
              <w:bottom w:val="single" w:sz="2" w:space="0" w:color="000000"/>
            </w:tcBorders>
            <w:shd w:val="clear" w:color="auto" w:fill="FFFFFF"/>
            <w:tcMar>
              <w:top w:w="15" w:type="dxa"/>
              <w:left w:w="0" w:type="dxa"/>
              <w:bottom w:w="0" w:type="dxa"/>
              <w:right w:w="15" w:type="dxa"/>
            </w:tcMar>
            <w:vAlign w:val="bottom"/>
          </w:tcPr>
          <w:p w14:paraId="21A39AB4" w14:textId="77777777" w:rsidR="009A5AEC" w:rsidRDefault="00000000">
            <w:pPr>
              <w:pStyle w:val="Normal0"/>
              <w:jc w:val="center"/>
              <w:rPr>
                <w:b/>
                <w:color w:val="000000"/>
                <w:sz w:val="16"/>
              </w:rPr>
            </w:pPr>
            <w:r>
              <w:rPr>
                <w:b/>
                <w:color w:val="000000"/>
                <w:sz w:val="16"/>
              </w:rPr>
              <w:t>Three Months Ended September 30,</w:t>
            </w:r>
          </w:p>
        </w:tc>
        <w:tc>
          <w:tcPr>
            <w:tcW w:w="50" w:type="pct"/>
            <w:shd w:val="clear" w:color="auto" w:fill="FFFFFF"/>
            <w:noWrap/>
            <w:tcMar>
              <w:top w:w="15" w:type="dxa"/>
              <w:left w:w="0" w:type="dxa"/>
              <w:bottom w:w="0" w:type="dxa"/>
              <w:right w:w="15" w:type="dxa"/>
            </w:tcMar>
            <w:vAlign w:val="bottom"/>
          </w:tcPr>
          <w:p w14:paraId="1C72C096" w14:textId="77777777" w:rsidR="009A5AEC" w:rsidRDefault="00000000">
            <w:pPr>
              <w:pStyle w:val="Normal0"/>
              <w:rPr>
                <w:b/>
                <w:color w:val="000000"/>
                <w:sz w:val="16"/>
              </w:rPr>
            </w:pPr>
            <w:r>
              <w:rPr>
                <w:b/>
                <w:color w:val="000000"/>
                <w:sz w:val="16"/>
              </w:rPr>
              <w:t xml:space="preserve"> </w:t>
            </w:r>
          </w:p>
        </w:tc>
        <w:tc>
          <w:tcPr>
            <w:tcW w:w="72" w:type="pct"/>
            <w:shd w:val="clear" w:color="auto" w:fill="FFFFFF"/>
            <w:tcMar>
              <w:top w:w="15" w:type="dxa"/>
              <w:left w:w="0" w:type="dxa"/>
              <w:bottom w:w="0" w:type="dxa"/>
              <w:right w:w="15" w:type="dxa"/>
            </w:tcMar>
            <w:vAlign w:val="bottom"/>
          </w:tcPr>
          <w:p w14:paraId="7953021F" w14:textId="77777777" w:rsidR="009A5AEC" w:rsidRDefault="00000000">
            <w:pPr>
              <w:pStyle w:val="Normal0"/>
              <w:rPr>
                <w:b/>
                <w:color w:val="000000"/>
                <w:sz w:val="16"/>
              </w:rPr>
            </w:pPr>
            <w:r>
              <w:rPr>
                <w:b/>
                <w:color w:val="000000"/>
                <w:sz w:val="16"/>
              </w:rPr>
              <w:t xml:space="preserve"> </w:t>
            </w:r>
          </w:p>
        </w:tc>
        <w:tc>
          <w:tcPr>
            <w:tcW w:w="1279" w:type="pct"/>
            <w:gridSpan w:val="6"/>
            <w:tcBorders>
              <w:bottom w:val="single" w:sz="2" w:space="0" w:color="000000"/>
            </w:tcBorders>
            <w:shd w:val="clear" w:color="auto" w:fill="FFFFFF"/>
            <w:tcMar>
              <w:top w:w="15" w:type="dxa"/>
              <w:left w:w="0" w:type="dxa"/>
              <w:bottom w:w="0" w:type="dxa"/>
              <w:right w:w="15" w:type="dxa"/>
            </w:tcMar>
            <w:vAlign w:val="bottom"/>
          </w:tcPr>
          <w:p w14:paraId="008551FB" w14:textId="77777777" w:rsidR="009A5AEC" w:rsidRDefault="00000000">
            <w:pPr>
              <w:pStyle w:val="Normal0"/>
              <w:jc w:val="center"/>
              <w:rPr>
                <w:b/>
                <w:color w:val="000000"/>
                <w:sz w:val="16"/>
              </w:rPr>
            </w:pPr>
            <w:r>
              <w:rPr>
                <w:b/>
                <w:color w:val="000000"/>
                <w:sz w:val="16"/>
              </w:rPr>
              <w:t>Nine Months Ended September 30,</w:t>
            </w:r>
          </w:p>
        </w:tc>
        <w:tc>
          <w:tcPr>
            <w:tcW w:w="50" w:type="pct"/>
            <w:shd w:val="clear" w:color="auto" w:fill="FFFFFF"/>
            <w:noWrap/>
            <w:tcMar>
              <w:top w:w="15" w:type="dxa"/>
              <w:left w:w="0" w:type="dxa"/>
              <w:bottom w:w="0" w:type="dxa"/>
              <w:right w:w="15" w:type="dxa"/>
            </w:tcMar>
            <w:vAlign w:val="bottom"/>
          </w:tcPr>
          <w:p w14:paraId="15A6C142" w14:textId="77777777" w:rsidR="009A5AEC" w:rsidRDefault="00000000">
            <w:pPr>
              <w:pStyle w:val="Normal0"/>
              <w:rPr>
                <w:b/>
                <w:color w:val="000000"/>
                <w:sz w:val="16"/>
              </w:rPr>
            </w:pPr>
            <w:r>
              <w:rPr>
                <w:b/>
                <w:color w:val="000000"/>
                <w:sz w:val="16"/>
              </w:rPr>
              <w:t xml:space="preserve"> </w:t>
            </w:r>
          </w:p>
        </w:tc>
      </w:tr>
      <w:tr w:rsidR="003116D1" w14:paraId="154750E1" w14:textId="77777777">
        <w:trPr>
          <w:cantSplit/>
          <w:jc w:val="center"/>
        </w:trPr>
        <w:tc>
          <w:tcPr>
            <w:tcW w:w="2195" w:type="pct"/>
            <w:shd w:val="clear" w:color="auto" w:fill="FFFFFF"/>
            <w:tcMar>
              <w:top w:w="15" w:type="dxa"/>
              <w:left w:w="0" w:type="dxa"/>
              <w:bottom w:w="0" w:type="dxa"/>
              <w:right w:w="15" w:type="dxa"/>
            </w:tcMar>
            <w:vAlign w:val="bottom"/>
          </w:tcPr>
          <w:p w14:paraId="6B1021D1" w14:textId="77777777" w:rsidR="009A5AEC" w:rsidRDefault="00000000">
            <w:pPr>
              <w:pStyle w:val="Normal0"/>
              <w:keepNext/>
              <w:rPr>
                <w:b/>
                <w:color w:val="000000"/>
                <w:sz w:val="16"/>
              </w:rPr>
            </w:pPr>
            <w:r>
              <w:rPr>
                <w:b/>
                <w:color w:val="000000"/>
                <w:sz w:val="16"/>
              </w:rPr>
              <w:t xml:space="preserve"> </w:t>
            </w:r>
          </w:p>
        </w:tc>
        <w:tc>
          <w:tcPr>
            <w:tcW w:w="72" w:type="pct"/>
            <w:shd w:val="clear" w:color="auto" w:fill="FFFFFF"/>
            <w:tcMar>
              <w:top w:w="15" w:type="dxa"/>
              <w:left w:w="0" w:type="dxa"/>
              <w:bottom w:w="0" w:type="dxa"/>
              <w:right w:w="15" w:type="dxa"/>
            </w:tcMar>
            <w:vAlign w:val="bottom"/>
          </w:tcPr>
          <w:p w14:paraId="64EE3DD1" w14:textId="77777777" w:rsidR="009A5AEC" w:rsidRDefault="00000000">
            <w:pPr>
              <w:pStyle w:val="Normal0"/>
              <w:rPr>
                <w:b/>
                <w:color w:val="000000"/>
                <w:sz w:val="16"/>
              </w:rPr>
            </w:pPr>
            <w:r>
              <w:rPr>
                <w:b/>
                <w:color w:val="000000"/>
                <w:sz w:val="16"/>
              </w:rPr>
              <w:t xml:space="preserve"> </w:t>
            </w:r>
          </w:p>
        </w:tc>
        <w:tc>
          <w:tcPr>
            <w:tcW w:w="578" w:type="pct"/>
            <w:gridSpan w:val="2"/>
            <w:tcBorders>
              <w:top w:val="single" w:sz="2" w:space="0" w:color="000000"/>
              <w:bottom w:val="single" w:sz="2" w:space="0" w:color="000000"/>
            </w:tcBorders>
            <w:shd w:val="clear" w:color="auto" w:fill="FFFFFF"/>
            <w:tcMar>
              <w:top w:w="15" w:type="dxa"/>
              <w:left w:w="0" w:type="dxa"/>
              <w:bottom w:w="0" w:type="dxa"/>
              <w:right w:w="15" w:type="dxa"/>
            </w:tcMar>
            <w:vAlign w:val="bottom"/>
          </w:tcPr>
          <w:p w14:paraId="22C67489" w14:textId="77777777" w:rsidR="009A5AEC" w:rsidRDefault="00000000">
            <w:pPr>
              <w:pStyle w:val="Normal0"/>
              <w:jc w:val="center"/>
              <w:rPr>
                <w:b/>
                <w:color w:val="000000"/>
                <w:sz w:val="16"/>
              </w:rPr>
            </w:pPr>
            <w:r>
              <w:rPr>
                <w:b/>
                <w:color w:val="000000"/>
                <w:sz w:val="16"/>
              </w:rPr>
              <w:t>2022</w:t>
            </w:r>
          </w:p>
        </w:tc>
        <w:tc>
          <w:tcPr>
            <w:tcW w:w="50" w:type="pct"/>
            <w:shd w:val="clear" w:color="auto" w:fill="FFFFFF"/>
            <w:noWrap/>
            <w:tcMar>
              <w:top w:w="15" w:type="dxa"/>
              <w:left w:w="0" w:type="dxa"/>
              <w:bottom w:w="0" w:type="dxa"/>
              <w:right w:w="15" w:type="dxa"/>
            </w:tcMar>
            <w:vAlign w:val="bottom"/>
          </w:tcPr>
          <w:p w14:paraId="32717E0B" w14:textId="77777777" w:rsidR="009A5AEC" w:rsidRDefault="00000000">
            <w:pPr>
              <w:pStyle w:val="Normal0"/>
              <w:rPr>
                <w:b/>
                <w:color w:val="000000"/>
                <w:sz w:val="16"/>
              </w:rPr>
            </w:pPr>
            <w:r>
              <w:rPr>
                <w:b/>
                <w:color w:val="000000"/>
                <w:sz w:val="16"/>
              </w:rPr>
              <w:t xml:space="preserve"> </w:t>
            </w:r>
          </w:p>
        </w:tc>
        <w:tc>
          <w:tcPr>
            <w:tcW w:w="72" w:type="pct"/>
            <w:tcBorders>
              <w:top w:val="single" w:sz="2" w:space="0" w:color="000000"/>
            </w:tcBorders>
            <w:shd w:val="clear" w:color="auto" w:fill="FFFFFF"/>
            <w:tcMar>
              <w:top w:w="15" w:type="dxa"/>
              <w:left w:w="0" w:type="dxa"/>
              <w:bottom w:w="0" w:type="dxa"/>
              <w:right w:w="15" w:type="dxa"/>
            </w:tcMar>
            <w:vAlign w:val="bottom"/>
          </w:tcPr>
          <w:p w14:paraId="46FD3068" w14:textId="77777777" w:rsidR="009A5AEC" w:rsidRDefault="00000000">
            <w:pPr>
              <w:pStyle w:val="Normal0"/>
              <w:rPr>
                <w:b/>
                <w:color w:val="000000"/>
                <w:sz w:val="16"/>
              </w:rPr>
            </w:pPr>
            <w:r>
              <w:rPr>
                <w:b/>
                <w:color w:val="000000"/>
                <w:sz w:val="16"/>
              </w:rPr>
              <w:t xml:space="preserve"> </w:t>
            </w:r>
          </w:p>
        </w:tc>
        <w:tc>
          <w:tcPr>
            <w:tcW w:w="578" w:type="pct"/>
            <w:gridSpan w:val="2"/>
            <w:tcBorders>
              <w:top w:val="single" w:sz="2" w:space="0" w:color="000000"/>
              <w:bottom w:val="single" w:sz="2" w:space="0" w:color="000000"/>
            </w:tcBorders>
            <w:shd w:val="clear" w:color="auto" w:fill="FFFFFF"/>
            <w:tcMar>
              <w:top w:w="15" w:type="dxa"/>
              <w:left w:w="0" w:type="dxa"/>
              <w:bottom w:w="0" w:type="dxa"/>
              <w:right w:w="15" w:type="dxa"/>
            </w:tcMar>
            <w:vAlign w:val="bottom"/>
          </w:tcPr>
          <w:p w14:paraId="7A36D966" w14:textId="77777777" w:rsidR="009A5AEC" w:rsidRDefault="00000000">
            <w:pPr>
              <w:pStyle w:val="Normal0"/>
              <w:jc w:val="center"/>
              <w:rPr>
                <w:b/>
                <w:color w:val="000000"/>
                <w:sz w:val="16"/>
              </w:rPr>
            </w:pPr>
            <w:r>
              <w:rPr>
                <w:b/>
                <w:color w:val="000000"/>
                <w:sz w:val="16"/>
              </w:rPr>
              <w:t>2021</w:t>
            </w:r>
          </w:p>
        </w:tc>
        <w:tc>
          <w:tcPr>
            <w:tcW w:w="50" w:type="pct"/>
            <w:shd w:val="clear" w:color="auto" w:fill="FFFFFF"/>
            <w:noWrap/>
            <w:tcMar>
              <w:top w:w="15" w:type="dxa"/>
              <w:left w:w="0" w:type="dxa"/>
              <w:bottom w:w="0" w:type="dxa"/>
              <w:right w:w="15" w:type="dxa"/>
            </w:tcMar>
            <w:vAlign w:val="bottom"/>
          </w:tcPr>
          <w:p w14:paraId="253F132B" w14:textId="77777777" w:rsidR="009A5AEC" w:rsidRDefault="00000000">
            <w:pPr>
              <w:pStyle w:val="Normal0"/>
              <w:rPr>
                <w:b/>
                <w:color w:val="000000"/>
                <w:sz w:val="16"/>
              </w:rPr>
            </w:pPr>
            <w:r>
              <w:rPr>
                <w:b/>
                <w:color w:val="000000"/>
                <w:sz w:val="16"/>
              </w:rPr>
              <w:t xml:space="preserve"> </w:t>
            </w:r>
          </w:p>
        </w:tc>
        <w:tc>
          <w:tcPr>
            <w:tcW w:w="72" w:type="pct"/>
            <w:shd w:val="clear" w:color="auto" w:fill="FFFFFF"/>
            <w:tcMar>
              <w:top w:w="15" w:type="dxa"/>
              <w:left w:w="0" w:type="dxa"/>
              <w:bottom w:w="0" w:type="dxa"/>
              <w:right w:w="15" w:type="dxa"/>
            </w:tcMar>
            <w:vAlign w:val="bottom"/>
          </w:tcPr>
          <w:p w14:paraId="7FCF2EDC" w14:textId="77777777" w:rsidR="009A5AEC" w:rsidRDefault="00000000">
            <w:pPr>
              <w:pStyle w:val="Normal0"/>
              <w:rPr>
                <w:b/>
                <w:color w:val="000000"/>
                <w:sz w:val="16"/>
              </w:rPr>
            </w:pPr>
            <w:r>
              <w:rPr>
                <w:b/>
                <w:color w:val="000000"/>
                <w:sz w:val="16"/>
              </w:rPr>
              <w:t xml:space="preserve"> </w:t>
            </w:r>
          </w:p>
        </w:tc>
        <w:tc>
          <w:tcPr>
            <w:tcW w:w="578" w:type="pct"/>
            <w:gridSpan w:val="2"/>
            <w:tcBorders>
              <w:top w:val="single" w:sz="2" w:space="0" w:color="000000"/>
              <w:bottom w:val="single" w:sz="2" w:space="0" w:color="000000"/>
            </w:tcBorders>
            <w:shd w:val="clear" w:color="auto" w:fill="FFFFFF"/>
            <w:tcMar>
              <w:top w:w="15" w:type="dxa"/>
              <w:left w:w="0" w:type="dxa"/>
              <w:bottom w:w="0" w:type="dxa"/>
              <w:right w:w="15" w:type="dxa"/>
            </w:tcMar>
            <w:vAlign w:val="bottom"/>
          </w:tcPr>
          <w:p w14:paraId="4A45B0BF" w14:textId="77777777" w:rsidR="009A5AEC" w:rsidRDefault="00000000">
            <w:pPr>
              <w:pStyle w:val="Normal0"/>
              <w:jc w:val="center"/>
              <w:rPr>
                <w:b/>
                <w:color w:val="000000"/>
                <w:sz w:val="16"/>
              </w:rPr>
            </w:pPr>
            <w:r>
              <w:rPr>
                <w:b/>
                <w:color w:val="000000"/>
                <w:sz w:val="16"/>
              </w:rPr>
              <w:t>2022</w:t>
            </w:r>
          </w:p>
        </w:tc>
        <w:tc>
          <w:tcPr>
            <w:tcW w:w="50" w:type="pct"/>
            <w:shd w:val="clear" w:color="auto" w:fill="FFFFFF"/>
            <w:noWrap/>
            <w:tcMar>
              <w:top w:w="15" w:type="dxa"/>
              <w:left w:w="0" w:type="dxa"/>
              <w:bottom w:w="0" w:type="dxa"/>
              <w:right w:w="15" w:type="dxa"/>
            </w:tcMar>
            <w:vAlign w:val="bottom"/>
          </w:tcPr>
          <w:p w14:paraId="6E9A6EEB" w14:textId="77777777" w:rsidR="009A5AEC" w:rsidRDefault="00000000">
            <w:pPr>
              <w:pStyle w:val="Normal0"/>
              <w:rPr>
                <w:b/>
                <w:color w:val="000000"/>
                <w:sz w:val="16"/>
              </w:rPr>
            </w:pPr>
            <w:r>
              <w:rPr>
                <w:b/>
                <w:color w:val="000000"/>
                <w:sz w:val="16"/>
              </w:rPr>
              <w:t xml:space="preserve"> </w:t>
            </w:r>
          </w:p>
        </w:tc>
        <w:tc>
          <w:tcPr>
            <w:tcW w:w="72" w:type="pct"/>
            <w:tcBorders>
              <w:top w:val="single" w:sz="2" w:space="0" w:color="000000"/>
            </w:tcBorders>
            <w:shd w:val="clear" w:color="auto" w:fill="FFFFFF"/>
            <w:tcMar>
              <w:top w:w="15" w:type="dxa"/>
              <w:left w:w="0" w:type="dxa"/>
              <w:bottom w:w="0" w:type="dxa"/>
              <w:right w:w="15" w:type="dxa"/>
            </w:tcMar>
            <w:vAlign w:val="bottom"/>
          </w:tcPr>
          <w:p w14:paraId="359E1DEA" w14:textId="77777777" w:rsidR="009A5AEC" w:rsidRDefault="00000000">
            <w:pPr>
              <w:pStyle w:val="Normal0"/>
              <w:rPr>
                <w:b/>
                <w:color w:val="000000"/>
                <w:sz w:val="16"/>
              </w:rPr>
            </w:pPr>
            <w:r>
              <w:rPr>
                <w:b/>
                <w:color w:val="000000"/>
                <w:sz w:val="16"/>
              </w:rPr>
              <w:t xml:space="preserve"> </w:t>
            </w:r>
          </w:p>
        </w:tc>
        <w:tc>
          <w:tcPr>
            <w:tcW w:w="578" w:type="pct"/>
            <w:gridSpan w:val="2"/>
            <w:tcBorders>
              <w:top w:val="single" w:sz="2" w:space="0" w:color="000000"/>
              <w:bottom w:val="single" w:sz="2" w:space="0" w:color="000000"/>
            </w:tcBorders>
            <w:shd w:val="clear" w:color="auto" w:fill="FFFFFF"/>
            <w:tcMar>
              <w:top w:w="15" w:type="dxa"/>
              <w:left w:w="0" w:type="dxa"/>
              <w:bottom w:w="0" w:type="dxa"/>
              <w:right w:w="15" w:type="dxa"/>
            </w:tcMar>
            <w:vAlign w:val="bottom"/>
          </w:tcPr>
          <w:p w14:paraId="0DEE6D42" w14:textId="77777777" w:rsidR="009A5AEC" w:rsidRDefault="00000000">
            <w:pPr>
              <w:pStyle w:val="Normal0"/>
              <w:jc w:val="center"/>
              <w:rPr>
                <w:b/>
                <w:color w:val="000000"/>
                <w:sz w:val="16"/>
              </w:rPr>
            </w:pPr>
            <w:r>
              <w:rPr>
                <w:b/>
                <w:color w:val="000000"/>
                <w:sz w:val="16"/>
              </w:rPr>
              <w:t>2021</w:t>
            </w:r>
          </w:p>
        </w:tc>
        <w:tc>
          <w:tcPr>
            <w:tcW w:w="50" w:type="pct"/>
            <w:shd w:val="clear" w:color="auto" w:fill="FFFFFF"/>
            <w:noWrap/>
            <w:tcMar>
              <w:top w:w="15" w:type="dxa"/>
              <w:left w:w="0" w:type="dxa"/>
              <w:bottom w:w="0" w:type="dxa"/>
              <w:right w:w="15" w:type="dxa"/>
            </w:tcMar>
            <w:vAlign w:val="bottom"/>
          </w:tcPr>
          <w:p w14:paraId="0EE228E3" w14:textId="77777777" w:rsidR="009A5AEC" w:rsidRDefault="00000000">
            <w:pPr>
              <w:pStyle w:val="Normal0"/>
              <w:rPr>
                <w:b/>
                <w:color w:val="000000"/>
                <w:sz w:val="16"/>
              </w:rPr>
            </w:pPr>
            <w:r>
              <w:rPr>
                <w:b/>
                <w:color w:val="000000"/>
                <w:sz w:val="16"/>
              </w:rPr>
              <w:t xml:space="preserve"> </w:t>
            </w:r>
          </w:p>
        </w:tc>
      </w:tr>
      <w:tr w:rsidR="003116D1" w14:paraId="3C1678DD" w14:textId="77777777">
        <w:trPr>
          <w:cantSplit/>
          <w:jc w:val="center"/>
        </w:trPr>
        <w:tc>
          <w:tcPr>
            <w:tcW w:w="2195" w:type="pct"/>
            <w:shd w:val="clear" w:color="auto" w:fill="FFFFFF"/>
            <w:tcMar>
              <w:top w:w="15" w:type="dxa"/>
              <w:left w:w="0" w:type="dxa"/>
              <w:bottom w:w="0" w:type="dxa"/>
              <w:right w:w="15" w:type="dxa"/>
            </w:tcMar>
          </w:tcPr>
          <w:p w14:paraId="6BF674FE" w14:textId="77777777" w:rsidR="009A5AEC" w:rsidRDefault="00000000">
            <w:pPr>
              <w:pStyle w:val="Normal0"/>
              <w:keepNext/>
              <w:rPr>
                <w:b/>
                <w:color w:val="000000"/>
                <w:sz w:val="20"/>
              </w:rPr>
            </w:pPr>
            <w:r>
              <w:rPr>
                <w:b/>
                <w:color w:val="000000"/>
                <w:sz w:val="20"/>
              </w:rPr>
              <w:t>Revenues</w:t>
            </w:r>
          </w:p>
        </w:tc>
        <w:tc>
          <w:tcPr>
            <w:tcW w:w="72" w:type="pct"/>
            <w:shd w:val="clear" w:color="auto" w:fill="FFFFFF"/>
            <w:tcMar>
              <w:top w:w="15" w:type="dxa"/>
              <w:left w:w="0" w:type="dxa"/>
              <w:bottom w:w="0" w:type="dxa"/>
              <w:right w:w="15" w:type="dxa"/>
            </w:tcMar>
            <w:vAlign w:val="bottom"/>
          </w:tcPr>
          <w:p w14:paraId="68F32962"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53879135" w14:textId="77777777" w:rsidR="009A5AEC" w:rsidRDefault="00000000">
            <w:pPr>
              <w:pStyle w:val="Normal0"/>
              <w:rPr>
                <w:color w:val="000000"/>
                <w:sz w:val="20"/>
              </w:rPr>
            </w:pPr>
            <w:r>
              <w:rPr>
                <w:color w:val="000000"/>
                <w:sz w:val="20"/>
              </w:rPr>
              <w:t xml:space="preserve"> </w:t>
            </w:r>
          </w:p>
        </w:tc>
        <w:tc>
          <w:tcPr>
            <w:tcW w:w="528" w:type="pct"/>
            <w:tcBorders>
              <w:top w:val="single" w:sz="2" w:space="0" w:color="000000"/>
            </w:tcBorders>
            <w:shd w:val="clear" w:color="auto" w:fill="FFFFFF"/>
            <w:noWrap/>
            <w:tcMar>
              <w:top w:w="15" w:type="dxa"/>
              <w:left w:w="0" w:type="dxa"/>
              <w:bottom w:w="0" w:type="dxa"/>
              <w:right w:w="15" w:type="dxa"/>
            </w:tcMar>
            <w:vAlign w:val="bottom"/>
          </w:tcPr>
          <w:p w14:paraId="12DA7AB8" w14:textId="77777777" w:rsidR="009A5AEC" w:rsidRDefault="00000000">
            <w:pPr>
              <w:pStyle w:val="Normal0"/>
              <w:jc w:val="right"/>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62A29DDD" w14:textId="77777777" w:rsidR="009A5AEC" w:rsidRDefault="00000000">
            <w:pPr>
              <w:pStyle w:val="Normal0"/>
              <w:rPr>
                <w:color w:val="000000"/>
                <w:sz w:val="20"/>
              </w:rPr>
            </w:pPr>
            <w:r>
              <w:rPr>
                <w:color w:val="000000"/>
                <w:sz w:val="20"/>
              </w:rPr>
              <w:t xml:space="preserve"> </w:t>
            </w:r>
          </w:p>
        </w:tc>
        <w:tc>
          <w:tcPr>
            <w:tcW w:w="72" w:type="pct"/>
            <w:shd w:val="clear" w:color="auto" w:fill="FFFFFF"/>
            <w:tcMar>
              <w:top w:w="15" w:type="dxa"/>
              <w:left w:w="0" w:type="dxa"/>
              <w:bottom w:w="0" w:type="dxa"/>
              <w:right w:w="15" w:type="dxa"/>
            </w:tcMar>
            <w:vAlign w:val="bottom"/>
          </w:tcPr>
          <w:p w14:paraId="138F09E5"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717B4B2A" w14:textId="77777777" w:rsidR="009A5AEC" w:rsidRDefault="00000000">
            <w:pPr>
              <w:pStyle w:val="Normal0"/>
              <w:rPr>
                <w:color w:val="000000"/>
                <w:sz w:val="20"/>
              </w:rPr>
            </w:pPr>
            <w:r>
              <w:rPr>
                <w:color w:val="000000"/>
                <w:sz w:val="20"/>
              </w:rPr>
              <w:t xml:space="preserve"> </w:t>
            </w:r>
          </w:p>
        </w:tc>
        <w:tc>
          <w:tcPr>
            <w:tcW w:w="528" w:type="pct"/>
            <w:tcBorders>
              <w:top w:val="single" w:sz="2" w:space="0" w:color="000000"/>
            </w:tcBorders>
            <w:shd w:val="clear" w:color="auto" w:fill="FFFFFF"/>
            <w:noWrap/>
            <w:tcMar>
              <w:top w:w="15" w:type="dxa"/>
              <w:left w:w="0" w:type="dxa"/>
              <w:bottom w:w="0" w:type="dxa"/>
              <w:right w:w="15" w:type="dxa"/>
            </w:tcMar>
            <w:vAlign w:val="bottom"/>
          </w:tcPr>
          <w:p w14:paraId="21FF7435" w14:textId="77777777" w:rsidR="009A5AEC" w:rsidRDefault="00000000">
            <w:pPr>
              <w:pStyle w:val="Normal0"/>
              <w:jc w:val="right"/>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6019E919" w14:textId="77777777" w:rsidR="009A5AEC" w:rsidRDefault="00000000">
            <w:pPr>
              <w:pStyle w:val="Normal0"/>
              <w:rPr>
                <w:color w:val="000000"/>
                <w:sz w:val="20"/>
              </w:rPr>
            </w:pPr>
            <w:r>
              <w:rPr>
                <w:color w:val="000000"/>
                <w:sz w:val="20"/>
              </w:rPr>
              <w:t xml:space="preserve"> </w:t>
            </w:r>
          </w:p>
        </w:tc>
        <w:tc>
          <w:tcPr>
            <w:tcW w:w="72" w:type="pct"/>
            <w:shd w:val="clear" w:color="auto" w:fill="FFFFFF"/>
            <w:tcMar>
              <w:top w:w="15" w:type="dxa"/>
              <w:left w:w="0" w:type="dxa"/>
              <w:bottom w:w="0" w:type="dxa"/>
              <w:right w:w="15" w:type="dxa"/>
            </w:tcMar>
            <w:vAlign w:val="bottom"/>
          </w:tcPr>
          <w:p w14:paraId="5D1047BC"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549CE777" w14:textId="77777777" w:rsidR="009A5AEC" w:rsidRDefault="00000000">
            <w:pPr>
              <w:pStyle w:val="Normal0"/>
              <w:rPr>
                <w:color w:val="000000"/>
                <w:sz w:val="20"/>
              </w:rPr>
            </w:pPr>
            <w:r>
              <w:rPr>
                <w:color w:val="000000"/>
                <w:sz w:val="20"/>
              </w:rPr>
              <w:t xml:space="preserve"> </w:t>
            </w:r>
          </w:p>
        </w:tc>
        <w:tc>
          <w:tcPr>
            <w:tcW w:w="528" w:type="pct"/>
            <w:tcBorders>
              <w:top w:val="single" w:sz="2" w:space="0" w:color="000000"/>
            </w:tcBorders>
            <w:shd w:val="clear" w:color="auto" w:fill="FFFFFF"/>
            <w:noWrap/>
            <w:tcMar>
              <w:top w:w="15" w:type="dxa"/>
              <w:left w:w="0" w:type="dxa"/>
              <w:bottom w:w="0" w:type="dxa"/>
              <w:right w:w="15" w:type="dxa"/>
            </w:tcMar>
            <w:vAlign w:val="bottom"/>
          </w:tcPr>
          <w:p w14:paraId="226896DA" w14:textId="77777777" w:rsidR="009A5AEC" w:rsidRDefault="00000000">
            <w:pPr>
              <w:pStyle w:val="Normal0"/>
              <w:jc w:val="right"/>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216FDBC6" w14:textId="77777777" w:rsidR="009A5AEC" w:rsidRDefault="00000000">
            <w:pPr>
              <w:pStyle w:val="Normal0"/>
              <w:rPr>
                <w:color w:val="000000"/>
                <w:sz w:val="20"/>
              </w:rPr>
            </w:pPr>
            <w:r>
              <w:rPr>
                <w:color w:val="000000"/>
                <w:sz w:val="20"/>
              </w:rPr>
              <w:t xml:space="preserve"> </w:t>
            </w:r>
          </w:p>
        </w:tc>
        <w:tc>
          <w:tcPr>
            <w:tcW w:w="72" w:type="pct"/>
            <w:shd w:val="clear" w:color="auto" w:fill="FFFFFF"/>
            <w:tcMar>
              <w:top w:w="15" w:type="dxa"/>
              <w:left w:w="0" w:type="dxa"/>
              <w:bottom w:w="0" w:type="dxa"/>
              <w:right w:w="15" w:type="dxa"/>
            </w:tcMar>
            <w:vAlign w:val="bottom"/>
          </w:tcPr>
          <w:p w14:paraId="5B4F05B5"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019AD53D" w14:textId="77777777" w:rsidR="009A5AEC" w:rsidRDefault="00000000">
            <w:pPr>
              <w:pStyle w:val="Normal0"/>
              <w:rPr>
                <w:color w:val="000000"/>
                <w:sz w:val="20"/>
              </w:rPr>
            </w:pPr>
            <w:r>
              <w:rPr>
                <w:color w:val="000000"/>
                <w:sz w:val="20"/>
              </w:rPr>
              <w:t xml:space="preserve"> </w:t>
            </w:r>
          </w:p>
        </w:tc>
        <w:tc>
          <w:tcPr>
            <w:tcW w:w="528" w:type="pct"/>
            <w:tcBorders>
              <w:top w:val="single" w:sz="2" w:space="0" w:color="000000"/>
            </w:tcBorders>
            <w:shd w:val="clear" w:color="auto" w:fill="FFFFFF"/>
            <w:noWrap/>
            <w:tcMar>
              <w:top w:w="15" w:type="dxa"/>
              <w:left w:w="0" w:type="dxa"/>
              <w:bottom w:w="0" w:type="dxa"/>
              <w:right w:w="15" w:type="dxa"/>
            </w:tcMar>
            <w:vAlign w:val="bottom"/>
          </w:tcPr>
          <w:p w14:paraId="2BF32887" w14:textId="77777777" w:rsidR="009A5AEC" w:rsidRDefault="00000000">
            <w:pPr>
              <w:pStyle w:val="Normal0"/>
              <w:jc w:val="right"/>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2A6692B2" w14:textId="77777777" w:rsidR="009A5AEC" w:rsidRDefault="00000000">
            <w:pPr>
              <w:pStyle w:val="Normal0"/>
              <w:rPr>
                <w:color w:val="000000"/>
                <w:sz w:val="20"/>
              </w:rPr>
            </w:pPr>
            <w:r>
              <w:rPr>
                <w:color w:val="000000"/>
                <w:sz w:val="20"/>
              </w:rPr>
              <w:t xml:space="preserve"> </w:t>
            </w:r>
          </w:p>
        </w:tc>
      </w:tr>
      <w:tr w:rsidR="003116D1" w14:paraId="7FA4DAF9" w14:textId="77777777">
        <w:trPr>
          <w:cantSplit/>
          <w:jc w:val="center"/>
        </w:trPr>
        <w:tc>
          <w:tcPr>
            <w:tcW w:w="2195" w:type="pct"/>
            <w:shd w:val="clear" w:color="auto" w:fill="CFF0FC"/>
            <w:tcMar>
              <w:top w:w="15" w:type="dxa"/>
              <w:left w:w="0" w:type="dxa"/>
              <w:bottom w:w="0" w:type="dxa"/>
              <w:right w:w="15" w:type="dxa"/>
            </w:tcMar>
          </w:tcPr>
          <w:p w14:paraId="45278F56" w14:textId="77777777" w:rsidR="009A5AEC" w:rsidRDefault="00000000">
            <w:pPr>
              <w:pStyle w:val="Normal0"/>
              <w:keepNext/>
              <w:ind w:left="137"/>
              <w:rPr>
                <w:color w:val="000000"/>
                <w:sz w:val="20"/>
              </w:rPr>
            </w:pPr>
            <w:r>
              <w:rPr>
                <w:color w:val="000000"/>
                <w:sz w:val="20"/>
              </w:rPr>
              <w:t>Electronic components</w:t>
            </w:r>
          </w:p>
        </w:tc>
        <w:tc>
          <w:tcPr>
            <w:tcW w:w="72" w:type="pct"/>
            <w:shd w:val="clear" w:color="auto" w:fill="CFF0FC"/>
            <w:tcMar>
              <w:top w:w="15" w:type="dxa"/>
              <w:left w:w="0" w:type="dxa"/>
              <w:bottom w:w="0" w:type="dxa"/>
              <w:right w:w="15" w:type="dxa"/>
            </w:tcMar>
            <w:vAlign w:val="bottom"/>
          </w:tcPr>
          <w:p w14:paraId="19B2BEB2" w14:textId="77777777" w:rsidR="009A5AEC" w:rsidRDefault="00000000">
            <w:pPr>
              <w:pStyle w:val="Normal0"/>
              <w:rPr>
                <w:color w:val="000000"/>
                <w:sz w:val="20"/>
              </w:rPr>
            </w:pPr>
            <w:r>
              <w:rPr>
                <w:color w:val="000000"/>
                <w:sz w:val="20"/>
              </w:rPr>
              <w:t xml:space="preserve"> </w:t>
            </w:r>
          </w:p>
        </w:tc>
        <w:tc>
          <w:tcPr>
            <w:tcW w:w="50" w:type="pct"/>
            <w:shd w:val="clear" w:color="auto" w:fill="CFF0FC"/>
            <w:noWrap/>
            <w:tcMar>
              <w:top w:w="15" w:type="dxa"/>
              <w:left w:w="0" w:type="dxa"/>
              <w:bottom w:w="0" w:type="dxa"/>
              <w:right w:w="15" w:type="dxa"/>
            </w:tcMar>
            <w:vAlign w:val="bottom"/>
          </w:tcPr>
          <w:p w14:paraId="794A6E14" w14:textId="77777777" w:rsidR="009A5AEC" w:rsidRDefault="00000000">
            <w:pPr>
              <w:pStyle w:val="Normal0"/>
              <w:rPr>
                <w:color w:val="000000"/>
                <w:sz w:val="20"/>
              </w:rPr>
            </w:pPr>
            <w:r>
              <w:rPr>
                <w:color w:val="000000"/>
                <w:sz w:val="20"/>
              </w:rPr>
              <w:t>$</w:t>
            </w:r>
          </w:p>
        </w:tc>
        <w:tc>
          <w:tcPr>
            <w:tcW w:w="528" w:type="pct"/>
            <w:shd w:val="clear" w:color="auto" w:fill="CFF0FC"/>
            <w:noWrap/>
            <w:tcMar>
              <w:top w:w="15" w:type="dxa"/>
              <w:left w:w="0" w:type="dxa"/>
              <w:bottom w:w="0" w:type="dxa"/>
              <w:right w:w="15" w:type="dxa"/>
            </w:tcMar>
            <w:vAlign w:val="bottom"/>
          </w:tcPr>
          <w:p w14:paraId="376DF70B" w14:textId="77777777" w:rsidR="009A5AEC" w:rsidRDefault="00000000">
            <w:pPr>
              <w:pStyle w:val="Normal0"/>
              <w:jc w:val="right"/>
              <w:rPr>
                <w:color w:val="000000"/>
                <w:sz w:val="20"/>
              </w:rPr>
            </w:pPr>
            <w:r>
              <w:rPr>
                <w:color w:val="000000"/>
                <w:sz w:val="20"/>
              </w:rPr>
              <w:t>8,417</w:t>
            </w:r>
          </w:p>
        </w:tc>
        <w:tc>
          <w:tcPr>
            <w:tcW w:w="50" w:type="pct"/>
            <w:shd w:val="clear" w:color="auto" w:fill="CFF0FC"/>
            <w:noWrap/>
            <w:tcMar>
              <w:top w:w="15" w:type="dxa"/>
              <w:left w:w="0" w:type="dxa"/>
              <w:bottom w:w="0" w:type="dxa"/>
              <w:right w:w="15" w:type="dxa"/>
            </w:tcMar>
            <w:vAlign w:val="bottom"/>
          </w:tcPr>
          <w:p w14:paraId="10AB2B8E" w14:textId="77777777" w:rsidR="009A5AEC" w:rsidRDefault="00000000">
            <w:pPr>
              <w:pStyle w:val="Normal0"/>
              <w:rPr>
                <w:color w:val="000000"/>
                <w:sz w:val="20"/>
              </w:rPr>
            </w:pPr>
            <w:r>
              <w:rPr>
                <w:color w:val="000000"/>
                <w:sz w:val="20"/>
              </w:rPr>
              <w:t xml:space="preserve"> </w:t>
            </w:r>
          </w:p>
        </w:tc>
        <w:tc>
          <w:tcPr>
            <w:tcW w:w="72" w:type="pct"/>
            <w:shd w:val="clear" w:color="auto" w:fill="CFF0FC"/>
            <w:tcMar>
              <w:top w:w="15" w:type="dxa"/>
              <w:left w:w="0" w:type="dxa"/>
              <w:bottom w:w="0" w:type="dxa"/>
              <w:right w:w="15" w:type="dxa"/>
            </w:tcMar>
            <w:vAlign w:val="bottom"/>
          </w:tcPr>
          <w:p w14:paraId="11B28FCD" w14:textId="77777777" w:rsidR="009A5AEC" w:rsidRDefault="00000000">
            <w:pPr>
              <w:pStyle w:val="Normal0"/>
              <w:rPr>
                <w:color w:val="000000"/>
                <w:sz w:val="20"/>
              </w:rPr>
            </w:pPr>
            <w:r>
              <w:rPr>
                <w:color w:val="000000"/>
                <w:sz w:val="20"/>
              </w:rPr>
              <w:t xml:space="preserve"> </w:t>
            </w:r>
          </w:p>
        </w:tc>
        <w:tc>
          <w:tcPr>
            <w:tcW w:w="50" w:type="pct"/>
            <w:shd w:val="clear" w:color="auto" w:fill="CFF0FC"/>
            <w:noWrap/>
            <w:tcMar>
              <w:top w:w="15" w:type="dxa"/>
              <w:left w:w="0" w:type="dxa"/>
              <w:bottom w:w="0" w:type="dxa"/>
              <w:right w:w="15" w:type="dxa"/>
            </w:tcMar>
            <w:vAlign w:val="bottom"/>
          </w:tcPr>
          <w:p w14:paraId="0A435B35" w14:textId="77777777" w:rsidR="009A5AEC" w:rsidRDefault="00000000">
            <w:pPr>
              <w:pStyle w:val="Normal0"/>
              <w:rPr>
                <w:color w:val="000000"/>
                <w:sz w:val="20"/>
              </w:rPr>
            </w:pPr>
            <w:r>
              <w:rPr>
                <w:color w:val="000000"/>
                <w:sz w:val="20"/>
              </w:rPr>
              <w:t>$</w:t>
            </w:r>
          </w:p>
        </w:tc>
        <w:tc>
          <w:tcPr>
            <w:tcW w:w="528" w:type="pct"/>
            <w:shd w:val="clear" w:color="auto" w:fill="CFF0FC"/>
            <w:noWrap/>
            <w:tcMar>
              <w:top w:w="15" w:type="dxa"/>
              <w:left w:w="0" w:type="dxa"/>
              <w:bottom w:w="0" w:type="dxa"/>
              <w:right w:w="15" w:type="dxa"/>
            </w:tcMar>
            <w:vAlign w:val="bottom"/>
          </w:tcPr>
          <w:p w14:paraId="550EA86A" w14:textId="77777777" w:rsidR="009A5AEC" w:rsidRDefault="00000000">
            <w:pPr>
              <w:pStyle w:val="Normal0"/>
              <w:jc w:val="right"/>
              <w:rPr>
                <w:color w:val="000000"/>
                <w:sz w:val="20"/>
              </w:rPr>
            </w:pPr>
            <w:r>
              <w:rPr>
                <w:color w:val="000000"/>
                <w:sz w:val="20"/>
              </w:rPr>
              <w:t>7,173</w:t>
            </w:r>
          </w:p>
        </w:tc>
        <w:tc>
          <w:tcPr>
            <w:tcW w:w="50" w:type="pct"/>
            <w:shd w:val="clear" w:color="auto" w:fill="CFF0FC"/>
            <w:noWrap/>
            <w:tcMar>
              <w:top w:w="15" w:type="dxa"/>
              <w:left w:w="0" w:type="dxa"/>
              <w:bottom w:w="0" w:type="dxa"/>
              <w:right w:w="15" w:type="dxa"/>
            </w:tcMar>
            <w:vAlign w:val="bottom"/>
          </w:tcPr>
          <w:p w14:paraId="2E5FD223" w14:textId="77777777" w:rsidR="009A5AEC" w:rsidRDefault="00000000">
            <w:pPr>
              <w:pStyle w:val="Normal0"/>
              <w:rPr>
                <w:color w:val="000000"/>
                <w:sz w:val="20"/>
              </w:rPr>
            </w:pPr>
            <w:r>
              <w:rPr>
                <w:color w:val="000000"/>
                <w:sz w:val="20"/>
              </w:rPr>
              <w:t xml:space="preserve"> </w:t>
            </w:r>
          </w:p>
        </w:tc>
        <w:tc>
          <w:tcPr>
            <w:tcW w:w="72" w:type="pct"/>
            <w:shd w:val="clear" w:color="auto" w:fill="CFF0FC"/>
            <w:tcMar>
              <w:top w:w="15" w:type="dxa"/>
              <w:left w:w="0" w:type="dxa"/>
              <w:bottom w:w="0" w:type="dxa"/>
              <w:right w:w="15" w:type="dxa"/>
            </w:tcMar>
            <w:vAlign w:val="bottom"/>
          </w:tcPr>
          <w:p w14:paraId="2D0D4436" w14:textId="77777777" w:rsidR="009A5AEC" w:rsidRDefault="00000000">
            <w:pPr>
              <w:pStyle w:val="Normal0"/>
              <w:rPr>
                <w:color w:val="000000"/>
                <w:sz w:val="20"/>
              </w:rPr>
            </w:pPr>
            <w:r>
              <w:rPr>
                <w:color w:val="000000"/>
                <w:sz w:val="20"/>
              </w:rPr>
              <w:t xml:space="preserve"> </w:t>
            </w:r>
          </w:p>
        </w:tc>
        <w:tc>
          <w:tcPr>
            <w:tcW w:w="50" w:type="pct"/>
            <w:shd w:val="clear" w:color="auto" w:fill="CFF0FC"/>
            <w:noWrap/>
            <w:tcMar>
              <w:top w:w="15" w:type="dxa"/>
              <w:left w:w="0" w:type="dxa"/>
              <w:bottom w:w="0" w:type="dxa"/>
              <w:right w:w="15" w:type="dxa"/>
            </w:tcMar>
            <w:vAlign w:val="bottom"/>
          </w:tcPr>
          <w:p w14:paraId="70FE87A2" w14:textId="77777777" w:rsidR="009A5AEC" w:rsidRDefault="00000000">
            <w:pPr>
              <w:pStyle w:val="Normal0"/>
              <w:rPr>
                <w:color w:val="000000"/>
                <w:sz w:val="20"/>
              </w:rPr>
            </w:pPr>
            <w:r>
              <w:rPr>
                <w:color w:val="000000"/>
                <w:sz w:val="20"/>
              </w:rPr>
              <w:t>$</w:t>
            </w:r>
          </w:p>
        </w:tc>
        <w:tc>
          <w:tcPr>
            <w:tcW w:w="528" w:type="pct"/>
            <w:shd w:val="clear" w:color="auto" w:fill="CFF0FC"/>
            <w:noWrap/>
            <w:tcMar>
              <w:top w:w="15" w:type="dxa"/>
              <w:left w:w="0" w:type="dxa"/>
              <w:bottom w:w="0" w:type="dxa"/>
              <w:right w:w="15" w:type="dxa"/>
            </w:tcMar>
            <w:vAlign w:val="bottom"/>
          </w:tcPr>
          <w:p w14:paraId="6FA63EA5" w14:textId="77777777" w:rsidR="009A5AEC" w:rsidRDefault="00000000">
            <w:pPr>
              <w:pStyle w:val="Normal0"/>
              <w:jc w:val="right"/>
              <w:rPr>
                <w:color w:val="000000"/>
                <w:sz w:val="20"/>
              </w:rPr>
            </w:pPr>
            <w:r>
              <w:rPr>
                <w:color w:val="000000"/>
                <w:sz w:val="20"/>
              </w:rPr>
              <w:t>23,172</w:t>
            </w:r>
          </w:p>
        </w:tc>
        <w:tc>
          <w:tcPr>
            <w:tcW w:w="50" w:type="pct"/>
            <w:shd w:val="clear" w:color="auto" w:fill="CFF0FC"/>
            <w:noWrap/>
            <w:tcMar>
              <w:top w:w="15" w:type="dxa"/>
              <w:left w:w="0" w:type="dxa"/>
              <w:bottom w:w="0" w:type="dxa"/>
              <w:right w:w="15" w:type="dxa"/>
            </w:tcMar>
            <w:vAlign w:val="bottom"/>
          </w:tcPr>
          <w:p w14:paraId="57BE3641" w14:textId="77777777" w:rsidR="009A5AEC" w:rsidRDefault="00000000">
            <w:pPr>
              <w:pStyle w:val="Normal0"/>
              <w:rPr>
                <w:color w:val="000000"/>
                <w:sz w:val="20"/>
              </w:rPr>
            </w:pPr>
            <w:r>
              <w:rPr>
                <w:color w:val="000000"/>
                <w:sz w:val="20"/>
              </w:rPr>
              <w:t xml:space="preserve"> </w:t>
            </w:r>
          </w:p>
        </w:tc>
        <w:tc>
          <w:tcPr>
            <w:tcW w:w="72" w:type="pct"/>
            <w:shd w:val="clear" w:color="auto" w:fill="CFF0FC"/>
            <w:tcMar>
              <w:top w:w="15" w:type="dxa"/>
              <w:left w:w="0" w:type="dxa"/>
              <w:bottom w:w="0" w:type="dxa"/>
              <w:right w:w="15" w:type="dxa"/>
            </w:tcMar>
            <w:vAlign w:val="bottom"/>
          </w:tcPr>
          <w:p w14:paraId="37342E43" w14:textId="77777777" w:rsidR="009A5AEC" w:rsidRDefault="00000000">
            <w:pPr>
              <w:pStyle w:val="Normal0"/>
              <w:rPr>
                <w:color w:val="000000"/>
                <w:sz w:val="20"/>
              </w:rPr>
            </w:pPr>
            <w:r>
              <w:rPr>
                <w:color w:val="000000"/>
                <w:sz w:val="20"/>
              </w:rPr>
              <w:t xml:space="preserve"> </w:t>
            </w:r>
          </w:p>
        </w:tc>
        <w:tc>
          <w:tcPr>
            <w:tcW w:w="50" w:type="pct"/>
            <w:shd w:val="clear" w:color="auto" w:fill="CFF0FC"/>
            <w:noWrap/>
            <w:tcMar>
              <w:top w:w="15" w:type="dxa"/>
              <w:left w:w="0" w:type="dxa"/>
              <w:bottom w:w="0" w:type="dxa"/>
              <w:right w:w="15" w:type="dxa"/>
            </w:tcMar>
            <w:vAlign w:val="bottom"/>
          </w:tcPr>
          <w:p w14:paraId="67DF813A" w14:textId="77777777" w:rsidR="009A5AEC" w:rsidRDefault="00000000">
            <w:pPr>
              <w:pStyle w:val="Normal0"/>
              <w:rPr>
                <w:color w:val="000000"/>
                <w:sz w:val="20"/>
              </w:rPr>
            </w:pPr>
            <w:r>
              <w:rPr>
                <w:color w:val="000000"/>
                <w:sz w:val="20"/>
              </w:rPr>
              <w:t>$</w:t>
            </w:r>
          </w:p>
        </w:tc>
        <w:tc>
          <w:tcPr>
            <w:tcW w:w="528" w:type="pct"/>
            <w:shd w:val="clear" w:color="auto" w:fill="CFF0FC"/>
            <w:noWrap/>
            <w:tcMar>
              <w:top w:w="15" w:type="dxa"/>
              <w:left w:w="0" w:type="dxa"/>
              <w:bottom w:w="0" w:type="dxa"/>
              <w:right w:w="15" w:type="dxa"/>
            </w:tcMar>
            <w:vAlign w:val="bottom"/>
          </w:tcPr>
          <w:p w14:paraId="046D7374" w14:textId="77777777" w:rsidR="009A5AEC" w:rsidRDefault="00000000">
            <w:pPr>
              <w:pStyle w:val="Normal0"/>
              <w:jc w:val="right"/>
              <w:rPr>
                <w:color w:val="000000"/>
                <w:sz w:val="20"/>
              </w:rPr>
            </w:pPr>
            <w:r>
              <w:rPr>
                <w:color w:val="000000"/>
                <w:sz w:val="20"/>
              </w:rPr>
              <w:t>19,834</w:t>
            </w:r>
          </w:p>
        </w:tc>
        <w:tc>
          <w:tcPr>
            <w:tcW w:w="50" w:type="pct"/>
            <w:shd w:val="clear" w:color="auto" w:fill="CFF0FC"/>
            <w:noWrap/>
            <w:tcMar>
              <w:top w:w="15" w:type="dxa"/>
              <w:left w:w="0" w:type="dxa"/>
              <w:bottom w:w="0" w:type="dxa"/>
              <w:right w:w="15" w:type="dxa"/>
            </w:tcMar>
            <w:vAlign w:val="bottom"/>
          </w:tcPr>
          <w:p w14:paraId="75F2D366" w14:textId="77777777" w:rsidR="009A5AEC" w:rsidRDefault="00000000">
            <w:pPr>
              <w:pStyle w:val="Normal0"/>
              <w:rPr>
                <w:color w:val="000000"/>
                <w:sz w:val="20"/>
              </w:rPr>
            </w:pPr>
            <w:r>
              <w:rPr>
                <w:color w:val="000000"/>
                <w:sz w:val="20"/>
              </w:rPr>
              <w:t xml:space="preserve"> </w:t>
            </w:r>
          </w:p>
        </w:tc>
      </w:tr>
      <w:tr w:rsidR="003116D1" w14:paraId="71B269DC" w14:textId="77777777">
        <w:trPr>
          <w:cantSplit/>
          <w:jc w:val="center"/>
        </w:trPr>
        <w:tc>
          <w:tcPr>
            <w:tcW w:w="2195" w:type="pct"/>
            <w:shd w:val="clear" w:color="auto" w:fill="FFFFFF"/>
            <w:tcMar>
              <w:top w:w="15" w:type="dxa"/>
              <w:left w:w="0" w:type="dxa"/>
              <w:bottom w:w="0" w:type="dxa"/>
              <w:right w:w="15" w:type="dxa"/>
            </w:tcMar>
          </w:tcPr>
          <w:p w14:paraId="72718A73" w14:textId="77777777" w:rsidR="009A5AEC" w:rsidRDefault="00000000">
            <w:pPr>
              <w:pStyle w:val="Normal0"/>
              <w:keepNext/>
              <w:ind w:left="137"/>
              <w:rPr>
                <w:color w:val="000000"/>
                <w:sz w:val="20"/>
              </w:rPr>
            </w:pPr>
            <w:r>
              <w:rPr>
                <w:color w:val="000000"/>
                <w:sz w:val="20"/>
              </w:rPr>
              <w:t>Electronic instruments</w:t>
            </w:r>
          </w:p>
        </w:tc>
        <w:tc>
          <w:tcPr>
            <w:tcW w:w="72" w:type="pct"/>
            <w:shd w:val="clear" w:color="auto" w:fill="FFFFFF"/>
            <w:tcMar>
              <w:top w:w="15" w:type="dxa"/>
              <w:left w:w="0" w:type="dxa"/>
              <w:bottom w:w="0" w:type="dxa"/>
              <w:right w:w="15" w:type="dxa"/>
            </w:tcMar>
            <w:vAlign w:val="bottom"/>
          </w:tcPr>
          <w:p w14:paraId="08D951B2"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141FCD25" w14:textId="77777777" w:rsidR="009A5AEC" w:rsidRDefault="00000000">
            <w:pPr>
              <w:pStyle w:val="Normal0"/>
              <w:rPr>
                <w:color w:val="000000"/>
                <w:sz w:val="20"/>
              </w:rPr>
            </w:pPr>
            <w:r>
              <w:rPr>
                <w:color w:val="000000"/>
                <w:sz w:val="20"/>
              </w:rPr>
              <w:t xml:space="preserve"> </w:t>
            </w:r>
          </w:p>
        </w:tc>
        <w:tc>
          <w:tcPr>
            <w:tcW w:w="528" w:type="pct"/>
            <w:tcBorders>
              <w:bottom w:val="single" w:sz="2" w:space="0" w:color="000000"/>
            </w:tcBorders>
            <w:shd w:val="clear" w:color="auto" w:fill="FFFFFF"/>
            <w:noWrap/>
            <w:tcMar>
              <w:top w:w="15" w:type="dxa"/>
              <w:left w:w="0" w:type="dxa"/>
              <w:bottom w:w="0" w:type="dxa"/>
              <w:right w:w="15" w:type="dxa"/>
            </w:tcMar>
            <w:vAlign w:val="bottom"/>
          </w:tcPr>
          <w:p w14:paraId="230DAFC1" w14:textId="77777777" w:rsidR="009A5AEC" w:rsidRDefault="00000000">
            <w:pPr>
              <w:pStyle w:val="Normal0"/>
              <w:jc w:val="right"/>
              <w:rPr>
                <w:color w:val="000000"/>
                <w:sz w:val="20"/>
              </w:rPr>
            </w:pPr>
            <w:r>
              <w:rPr>
                <w:color w:val="000000"/>
                <w:sz w:val="20"/>
              </w:rPr>
              <w:t>344</w:t>
            </w:r>
          </w:p>
        </w:tc>
        <w:tc>
          <w:tcPr>
            <w:tcW w:w="50" w:type="pct"/>
            <w:shd w:val="clear" w:color="auto" w:fill="FFFFFF"/>
            <w:noWrap/>
            <w:tcMar>
              <w:top w:w="15" w:type="dxa"/>
              <w:left w:w="0" w:type="dxa"/>
              <w:bottom w:w="0" w:type="dxa"/>
              <w:right w:w="15" w:type="dxa"/>
            </w:tcMar>
            <w:vAlign w:val="bottom"/>
          </w:tcPr>
          <w:p w14:paraId="5F1C3223" w14:textId="77777777" w:rsidR="009A5AEC" w:rsidRDefault="00000000">
            <w:pPr>
              <w:pStyle w:val="Normal0"/>
              <w:rPr>
                <w:color w:val="000000"/>
                <w:sz w:val="20"/>
              </w:rPr>
            </w:pPr>
            <w:r>
              <w:rPr>
                <w:color w:val="000000"/>
                <w:sz w:val="20"/>
              </w:rPr>
              <w:t xml:space="preserve"> </w:t>
            </w:r>
          </w:p>
        </w:tc>
        <w:tc>
          <w:tcPr>
            <w:tcW w:w="72" w:type="pct"/>
            <w:shd w:val="clear" w:color="auto" w:fill="FFFFFF"/>
            <w:tcMar>
              <w:top w:w="15" w:type="dxa"/>
              <w:left w:w="0" w:type="dxa"/>
              <w:bottom w:w="0" w:type="dxa"/>
              <w:right w:w="15" w:type="dxa"/>
            </w:tcMar>
            <w:vAlign w:val="bottom"/>
          </w:tcPr>
          <w:p w14:paraId="57BC5D4D"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70544516" w14:textId="77777777" w:rsidR="009A5AEC" w:rsidRDefault="00000000">
            <w:pPr>
              <w:pStyle w:val="Normal0"/>
              <w:rPr>
                <w:color w:val="000000"/>
                <w:sz w:val="20"/>
              </w:rPr>
            </w:pPr>
            <w:r>
              <w:rPr>
                <w:color w:val="000000"/>
                <w:sz w:val="20"/>
              </w:rPr>
              <w:t xml:space="preserve"> </w:t>
            </w:r>
          </w:p>
        </w:tc>
        <w:tc>
          <w:tcPr>
            <w:tcW w:w="528" w:type="pct"/>
            <w:tcBorders>
              <w:bottom w:val="single" w:sz="2" w:space="0" w:color="000000"/>
            </w:tcBorders>
            <w:shd w:val="clear" w:color="auto" w:fill="FFFFFF"/>
            <w:noWrap/>
            <w:tcMar>
              <w:top w:w="15" w:type="dxa"/>
              <w:left w:w="0" w:type="dxa"/>
              <w:bottom w:w="0" w:type="dxa"/>
              <w:right w:w="15" w:type="dxa"/>
            </w:tcMar>
            <w:vAlign w:val="bottom"/>
          </w:tcPr>
          <w:p w14:paraId="6BEB4F55" w14:textId="77777777" w:rsidR="009A5AEC" w:rsidRDefault="00000000">
            <w:pPr>
              <w:pStyle w:val="Normal0"/>
              <w:jc w:val="right"/>
              <w:rPr>
                <w:color w:val="000000"/>
                <w:sz w:val="20"/>
              </w:rPr>
            </w:pPr>
            <w:r>
              <w:rPr>
                <w:color w:val="000000"/>
                <w:sz w:val="20"/>
              </w:rPr>
              <w:t>328</w:t>
            </w:r>
          </w:p>
        </w:tc>
        <w:tc>
          <w:tcPr>
            <w:tcW w:w="50" w:type="pct"/>
            <w:shd w:val="clear" w:color="auto" w:fill="FFFFFF"/>
            <w:noWrap/>
            <w:tcMar>
              <w:top w:w="15" w:type="dxa"/>
              <w:left w:w="0" w:type="dxa"/>
              <w:bottom w:w="0" w:type="dxa"/>
              <w:right w:w="15" w:type="dxa"/>
            </w:tcMar>
            <w:vAlign w:val="bottom"/>
          </w:tcPr>
          <w:p w14:paraId="3D4F50E9" w14:textId="77777777" w:rsidR="009A5AEC" w:rsidRDefault="00000000">
            <w:pPr>
              <w:pStyle w:val="Normal0"/>
              <w:rPr>
                <w:color w:val="000000"/>
                <w:sz w:val="20"/>
              </w:rPr>
            </w:pPr>
            <w:r>
              <w:rPr>
                <w:color w:val="000000"/>
                <w:sz w:val="20"/>
              </w:rPr>
              <w:t xml:space="preserve"> </w:t>
            </w:r>
          </w:p>
        </w:tc>
        <w:tc>
          <w:tcPr>
            <w:tcW w:w="72" w:type="pct"/>
            <w:shd w:val="clear" w:color="auto" w:fill="FFFFFF"/>
            <w:tcMar>
              <w:top w:w="15" w:type="dxa"/>
              <w:left w:w="0" w:type="dxa"/>
              <w:bottom w:w="0" w:type="dxa"/>
              <w:right w:w="15" w:type="dxa"/>
            </w:tcMar>
            <w:vAlign w:val="bottom"/>
          </w:tcPr>
          <w:p w14:paraId="26DFDD2D"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7534DBB7" w14:textId="77777777" w:rsidR="009A5AEC" w:rsidRDefault="00000000">
            <w:pPr>
              <w:pStyle w:val="Normal0"/>
              <w:rPr>
                <w:color w:val="000000"/>
                <w:sz w:val="20"/>
              </w:rPr>
            </w:pPr>
            <w:r>
              <w:rPr>
                <w:color w:val="000000"/>
                <w:sz w:val="20"/>
              </w:rPr>
              <w:t xml:space="preserve"> </w:t>
            </w:r>
          </w:p>
        </w:tc>
        <w:tc>
          <w:tcPr>
            <w:tcW w:w="528" w:type="pct"/>
            <w:tcBorders>
              <w:bottom w:val="single" w:sz="2" w:space="0" w:color="000000"/>
            </w:tcBorders>
            <w:shd w:val="clear" w:color="auto" w:fill="FFFFFF"/>
            <w:noWrap/>
            <w:tcMar>
              <w:top w:w="15" w:type="dxa"/>
              <w:left w:w="0" w:type="dxa"/>
              <w:bottom w:w="0" w:type="dxa"/>
              <w:right w:w="15" w:type="dxa"/>
            </w:tcMar>
            <w:vAlign w:val="bottom"/>
          </w:tcPr>
          <w:p w14:paraId="07DDE98E" w14:textId="77777777" w:rsidR="009A5AEC" w:rsidRDefault="00000000">
            <w:pPr>
              <w:pStyle w:val="Normal0"/>
              <w:jc w:val="right"/>
              <w:rPr>
                <w:color w:val="000000"/>
                <w:sz w:val="20"/>
              </w:rPr>
            </w:pPr>
            <w:r>
              <w:rPr>
                <w:color w:val="000000"/>
                <w:sz w:val="20"/>
              </w:rPr>
              <w:t>1,131</w:t>
            </w:r>
          </w:p>
        </w:tc>
        <w:tc>
          <w:tcPr>
            <w:tcW w:w="50" w:type="pct"/>
            <w:shd w:val="clear" w:color="auto" w:fill="FFFFFF"/>
            <w:noWrap/>
            <w:tcMar>
              <w:top w:w="15" w:type="dxa"/>
              <w:left w:w="0" w:type="dxa"/>
              <w:bottom w:w="0" w:type="dxa"/>
              <w:right w:w="15" w:type="dxa"/>
            </w:tcMar>
            <w:vAlign w:val="bottom"/>
          </w:tcPr>
          <w:p w14:paraId="6755999E" w14:textId="77777777" w:rsidR="009A5AEC" w:rsidRDefault="00000000">
            <w:pPr>
              <w:pStyle w:val="Normal0"/>
              <w:rPr>
                <w:color w:val="000000"/>
                <w:sz w:val="20"/>
              </w:rPr>
            </w:pPr>
            <w:r>
              <w:rPr>
                <w:color w:val="000000"/>
                <w:sz w:val="20"/>
              </w:rPr>
              <w:t xml:space="preserve"> </w:t>
            </w:r>
          </w:p>
        </w:tc>
        <w:tc>
          <w:tcPr>
            <w:tcW w:w="72" w:type="pct"/>
            <w:shd w:val="clear" w:color="auto" w:fill="FFFFFF"/>
            <w:tcMar>
              <w:top w:w="15" w:type="dxa"/>
              <w:left w:w="0" w:type="dxa"/>
              <w:bottom w:w="0" w:type="dxa"/>
              <w:right w:w="15" w:type="dxa"/>
            </w:tcMar>
            <w:vAlign w:val="bottom"/>
          </w:tcPr>
          <w:p w14:paraId="59F3229B"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5F8376D6" w14:textId="77777777" w:rsidR="009A5AEC" w:rsidRDefault="00000000">
            <w:pPr>
              <w:pStyle w:val="Normal0"/>
              <w:rPr>
                <w:color w:val="000000"/>
                <w:sz w:val="20"/>
              </w:rPr>
            </w:pPr>
            <w:r>
              <w:rPr>
                <w:color w:val="000000"/>
                <w:sz w:val="20"/>
              </w:rPr>
              <w:t xml:space="preserve"> </w:t>
            </w:r>
          </w:p>
        </w:tc>
        <w:tc>
          <w:tcPr>
            <w:tcW w:w="528" w:type="pct"/>
            <w:tcBorders>
              <w:bottom w:val="single" w:sz="2" w:space="0" w:color="000000"/>
            </w:tcBorders>
            <w:shd w:val="clear" w:color="auto" w:fill="FFFFFF"/>
            <w:noWrap/>
            <w:tcMar>
              <w:top w:w="15" w:type="dxa"/>
              <w:left w:w="0" w:type="dxa"/>
              <w:bottom w:w="0" w:type="dxa"/>
              <w:right w:w="15" w:type="dxa"/>
            </w:tcMar>
            <w:vAlign w:val="bottom"/>
          </w:tcPr>
          <w:p w14:paraId="5172EA79" w14:textId="77777777" w:rsidR="009A5AEC" w:rsidRDefault="00000000">
            <w:pPr>
              <w:pStyle w:val="Normal0"/>
              <w:jc w:val="right"/>
              <w:rPr>
                <w:color w:val="000000"/>
                <w:sz w:val="20"/>
              </w:rPr>
            </w:pPr>
            <w:r>
              <w:rPr>
                <w:color w:val="000000"/>
                <w:sz w:val="20"/>
              </w:rPr>
              <w:t>1,085</w:t>
            </w:r>
          </w:p>
        </w:tc>
        <w:tc>
          <w:tcPr>
            <w:tcW w:w="50" w:type="pct"/>
            <w:shd w:val="clear" w:color="auto" w:fill="FFFFFF"/>
            <w:noWrap/>
            <w:tcMar>
              <w:top w:w="15" w:type="dxa"/>
              <w:left w:w="0" w:type="dxa"/>
              <w:bottom w:w="0" w:type="dxa"/>
              <w:right w:w="15" w:type="dxa"/>
            </w:tcMar>
            <w:vAlign w:val="bottom"/>
          </w:tcPr>
          <w:p w14:paraId="409A1207" w14:textId="77777777" w:rsidR="009A5AEC" w:rsidRDefault="00000000">
            <w:pPr>
              <w:pStyle w:val="Normal0"/>
              <w:rPr>
                <w:color w:val="000000"/>
                <w:sz w:val="20"/>
              </w:rPr>
            </w:pPr>
            <w:r>
              <w:rPr>
                <w:color w:val="000000"/>
                <w:sz w:val="20"/>
              </w:rPr>
              <w:t xml:space="preserve"> </w:t>
            </w:r>
          </w:p>
        </w:tc>
      </w:tr>
      <w:tr w:rsidR="003116D1" w14:paraId="36536083" w14:textId="77777777">
        <w:trPr>
          <w:cantSplit/>
          <w:jc w:val="center"/>
        </w:trPr>
        <w:tc>
          <w:tcPr>
            <w:tcW w:w="2195" w:type="pct"/>
            <w:shd w:val="clear" w:color="auto" w:fill="CFF0FC"/>
            <w:tcMar>
              <w:top w:w="15" w:type="dxa"/>
              <w:left w:w="0" w:type="dxa"/>
              <w:bottom w:w="0" w:type="dxa"/>
              <w:right w:w="15" w:type="dxa"/>
            </w:tcMar>
          </w:tcPr>
          <w:p w14:paraId="64941C86" w14:textId="77777777" w:rsidR="009A5AEC" w:rsidRDefault="00000000">
            <w:pPr>
              <w:pStyle w:val="Normal0"/>
              <w:keepNext/>
              <w:rPr>
                <w:color w:val="000000"/>
                <w:sz w:val="20"/>
              </w:rPr>
            </w:pPr>
            <w:r>
              <w:rPr>
                <w:color w:val="000000"/>
                <w:sz w:val="20"/>
              </w:rPr>
              <w:t>Total consolidated revenues</w:t>
            </w:r>
          </w:p>
        </w:tc>
        <w:tc>
          <w:tcPr>
            <w:tcW w:w="72" w:type="pct"/>
            <w:shd w:val="clear" w:color="auto" w:fill="CFF0FC"/>
            <w:tcMar>
              <w:top w:w="15" w:type="dxa"/>
              <w:left w:w="0" w:type="dxa"/>
              <w:bottom w:w="0" w:type="dxa"/>
              <w:right w:w="15" w:type="dxa"/>
            </w:tcMar>
            <w:vAlign w:val="bottom"/>
          </w:tcPr>
          <w:p w14:paraId="21172769"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double" w:sz="6" w:space="0" w:color="000000"/>
            </w:tcBorders>
            <w:shd w:val="clear" w:color="auto" w:fill="CFF0FC"/>
            <w:noWrap/>
            <w:tcMar>
              <w:top w:w="15" w:type="dxa"/>
              <w:left w:w="0" w:type="dxa"/>
              <w:bottom w:w="0" w:type="dxa"/>
              <w:right w:w="15" w:type="dxa"/>
            </w:tcMar>
            <w:vAlign w:val="bottom"/>
          </w:tcPr>
          <w:p w14:paraId="104F9BBF" w14:textId="77777777" w:rsidR="009A5AEC" w:rsidRDefault="00000000">
            <w:pPr>
              <w:pStyle w:val="Normal0"/>
              <w:rPr>
                <w:color w:val="000000"/>
                <w:sz w:val="20"/>
              </w:rPr>
            </w:pPr>
            <w:r>
              <w:rPr>
                <w:color w:val="000000"/>
                <w:sz w:val="20"/>
              </w:rPr>
              <w:t>$</w:t>
            </w:r>
          </w:p>
        </w:tc>
        <w:tc>
          <w:tcPr>
            <w:tcW w:w="528" w:type="pct"/>
            <w:tcBorders>
              <w:top w:val="single" w:sz="2" w:space="0" w:color="000000"/>
              <w:bottom w:val="double" w:sz="6" w:space="0" w:color="000000"/>
            </w:tcBorders>
            <w:shd w:val="clear" w:color="auto" w:fill="CFF0FC"/>
            <w:noWrap/>
            <w:tcMar>
              <w:top w:w="15" w:type="dxa"/>
              <w:left w:w="0" w:type="dxa"/>
              <w:bottom w:w="0" w:type="dxa"/>
              <w:right w:w="15" w:type="dxa"/>
            </w:tcMar>
            <w:vAlign w:val="bottom"/>
          </w:tcPr>
          <w:p w14:paraId="5916B57E" w14:textId="77777777" w:rsidR="009A5AEC" w:rsidRDefault="00000000">
            <w:pPr>
              <w:pStyle w:val="Normal0"/>
              <w:jc w:val="right"/>
              <w:rPr>
                <w:color w:val="000000"/>
                <w:sz w:val="20"/>
              </w:rPr>
            </w:pPr>
            <w:r>
              <w:rPr>
                <w:color w:val="000000"/>
                <w:sz w:val="20"/>
              </w:rPr>
              <w:t>8,761</w:t>
            </w:r>
          </w:p>
        </w:tc>
        <w:tc>
          <w:tcPr>
            <w:tcW w:w="50" w:type="pct"/>
            <w:shd w:val="clear" w:color="auto" w:fill="CFF0FC"/>
            <w:noWrap/>
            <w:tcMar>
              <w:top w:w="15" w:type="dxa"/>
              <w:left w:w="0" w:type="dxa"/>
              <w:bottom w:w="0" w:type="dxa"/>
              <w:right w:w="15" w:type="dxa"/>
            </w:tcMar>
            <w:vAlign w:val="bottom"/>
          </w:tcPr>
          <w:p w14:paraId="573D8B13" w14:textId="77777777" w:rsidR="009A5AEC" w:rsidRDefault="00000000">
            <w:pPr>
              <w:pStyle w:val="Normal0"/>
              <w:rPr>
                <w:color w:val="000000"/>
                <w:sz w:val="20"/>
              </w:rPr>
            </w:pPr>
            <w:r>
              <w:rPr>
                <w:color w:val="000000"/>
                <w:sz w:val="20"/>
              </w:rPr>
              <w:t xml:space="preserve"> </w:t>
            </w:r>
          </w:p>
        </w:tc>
        <w:tc>
          <w:tcPr>
            <w:tcW w:w="72" w:type="pct"/>
            <w:shd w:val="clear" w:color="auto" w:fill="CFF0FC"/>
            <w:tcMar>
              <w:top w:w="15" w:type="dxa"/>
              <w:left w:w="0" w:type="dxa"/>
              <w:bottom w:w="0" w:type="dxa"/>
              <w:right w:w="15" w:type="dxa"/>
            </w:tcMar>
            <w:vAlign w:val="bottom"/>
          </w:tcPr>
          <w:p w14:paraId="6F0D2BBF"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double" w:sz="6" w:space="0" w:color="000000"/>
            </w:tcBorders>
            <w:shd w:val="clear" w:color="auto" w:fill="CFF0FC"/>
            <w:noWrap/>
            <w:tcMar>
              <w:top w:w="15" w:type="dxa"/>
              <w:left w:w="0" w:type="dxa"/>
              <w:bottom w:w="0" w:type="dxa"/>
              <w:right w:w="15" w:type="dxa"/>
            </w:tcMar>
            <w:vAlign w:val="bottom"/>
          </w:tcPr>
          <w:p w14:paraId="6754220A" w14:textId="77777777" w:rsidR="009A5AEC" w:rsidRDefault="00000000">
            <w:pPr>
              <w:pStyle w:val="Normal0"/>
              <w:rPr>
                <w:color w:val="000000"/>
                <w:sz w:val="20"/>
              </w:rPr>
            </w:pPr>
            <w:r>
              <w:rPr>
                <w:color w:val="000000"/>
                <w:sz w:val="20"/>
              </w:rPr>
              <w:t>$</w:t>
            </w:r>
          </w:p>
        </w:tc>
        <w:tc>
          <w:tcPr>
            <w:tcW w:w="528" w:type="pct"/>
            <w:tcBorders>
              <w:top w:val="single" w:sz="2" w:space="0" w:color="000000"/>
              <w:bottom w:val="double" w:sz="6" w:space="0" w:color="000000"/>
            </w:tcBorders>
            <w:shd w:val="clear" w:color="auto" w:fill="CFF0FC"/>
            <w:noWrap/>
            <w:tcMar>
              <w:top w:w="15" w:type="dxa"/>
              <w:left w:w="0" w:type="dxa"/>
              <w:bottom w:w="0" w:type="dxa"/>
              <w:right w:w="15" w:type="dxa"/>
            </w:tcMar>
            <w:vAlign w:val="bottom"/>
          </w:tcPr>
          <w:p w14:paraId="21AAC9F4" w14:textId="77777777" w:rsidR="009A5AEC" w:rsidRDefault="00000000">
            <w:pPr>
              <w:pStyle w:val="Normal0"/>
              <w:jc w:val="right"/>
              <w:rPr>
                <w:color w:val="000000"/>
                <w:sz w:val="20"/>
              </w:rPr>
            </w:pPr>
            <w:r>
              <w:rPr>
                <w:color w:val="000000"/>
                <w:sz w:val="20"/>
              </w:rPr>
              <w:t>7,501</w:t>
            </w:r>
          </w:p>
        </w:tc>
        <w:tc>
          <w:tcPr>
            <w:tcW w:w="50" w:type="pct"/>
            <w:shd w:val="clear" w:color="auto" w:fill="CFF0FC"/>
            <w:noWrap/>
            <w:tcMar>
              <w:top w:w="15" w:type="dxa"/>
              <w:left w:w="0" w:type="dxa"/>
              <w:bottom w:w="0" w:type="dxa"/>
              <w:right w:w="15" w:type="dxa"/>
            </w:tcMar>
            <w:vAlign w:val="bottom"/>
          </w:tcPr>
          <w:p w14:paraId="301253D5" w14:textId="77777777" w:rsidR="009A5AEC" w:rsidRDefault="00000000">
            <w:pPr>
              <w:pStyle w:val="Normal0"/>
              <w:rPr>
                <w:color w:val="000000"/>
                <w:sz w:val="20"/>
              </w:rPr>
            </w:pPr>
            <w:r>
              <w:rPr>
                <w:color w:val="000000"/>
                <w:sz w:val="20"/>
              </w:rPr>
              <w:t xml:space="preserve"> </w:t>
            </w:r>
          </w:p>
        </w:tc>
        <w:tc>
          <w:tcPr>
            <w:tcW w:w="72" w:type="pct"/>
            <w:shd w:val="clear" w:color="auto" w:fill="CFF0FC"/>
            <w:tcMar>
              <w:top w:w="15" w:type="dxa"/>
              <w:left w:w="0" w:type="dxa"/>
              <w:bottom w:w="0" w:type="dxa"/>
              <w:right w:w="15" w:type="dxa"/>
            </w:tcMar>
            <w:vAlign w:val="bottom"/>
          </w:tcPr>
          <w:p w14:paraId="4A26E314"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double" w:sz="6" w:space="0" w:color="000000"/>
            </w:tcBorders>
            <w:shd w:val="clear" w:color="auto" w:fill="CFF0FC"/>
            <w:noWrap/>
            <w:tcMar>
              <w:top w:w="15" w:type="dxa"/>
              <w:left w:w="0" w:type="dxa"/>
              <w:bottom w:w="0" w:type="dxa"/>
              <w:right w:w="15" w:type="dxa"/>
            </w:tcMar>
            <w:vAlign w:val="bottom"/>
          </w:tcPr>
          <w:p w14:paraId="50E241CB" w14:textId="77777777" w:rsidR="009A5AEC" w:rsidRDefault="00000000">
            <w:pPr>
              <w:pStyle w:val="Normal0"/>
              <w:rPr>
                <w:color w:val="000000"/>
                <w:sz w:val="20"/>
              </w:rPr>
            </w:pPr>
            <w:r>
              <w:rPr>
                <w:color w:val="000000"/>
                <w:sz w:val="20"/>
              </w:rPr>
              <w:t>$</w:t>
            </w:r>
          </w:p>
        </w:tc>
        <w:tc>
          <w:tcPr>
            <w:tcW w:w="528" w:type="pct"/>
            <w:tcBorders>
              <w:top w:val="single" w:sz="2" w:space="0" w:color="000000"/>
              <w:bottom w:val="double" w:sz="6" w:space="0" w:color="000000"/>
            </w:tcBorders>
            <w:shd w:val="clear" w:color="auto" w:fill="CFF0FC"/>
            <w:noWrap/>
            <w:tcMar>
              <w:top w:w="15" w:type="dxa"/>
              <w:left w:w="0" w:type="dxa"/>
              <w:bottom w:w="0" w:type="dxa"/>
              <w:right w:w="15" w:type="dxa"/>
            </w:tcMar>
            <w:vAlign w:val="bottom"/>
          </w:tcPr>
          <w:p w14:paraId="1302E62F" w14:textId="77777777" w:rsidR="009A5AEC" w:rsidRDefault="00000000">
            <w:pPr>
              <w:pStyle w:val="Normal0"/>
              <w:jc w:val="right"/>
              <w:rPr>
                <w:color w:val="000000"/>
                <w:sz w:val="20"/>
              </w:rPr>
            </w:pPr>
            <w:r>
              <w:rPr>
                <w:color w:val="000000"/>
                <w:sz w:val="20"/>
              </w:rPr>
              <w:t>24,303</w:t>
            </w:r>
          </w:p>
        </w:tc>
        <w:tc>
          <w:tcPr>
            <w:tcW w:w="50" w:type="pct"/>
            <w:shd w:val="clear" w:color="auto" w:fill="CFF0FC"/>
            <w:noWrap/>
            <w:tcMar>
              <w:top w:w="15" w:type="dxa"/>
              <w:left w:w="0" w:type="dxa"/>
              <w:bottom w:w="0" w:type="dxa"/>
              <w:right w:w="15" w:type="dxa"/>
            </w:tcMar>
            <w:vAlign w:val="bottom"/>
          </w:tcPr>
          <w:p w14:paraId="71455FF4" w14:textId="77777777" w:rsidR="009A5AEC" w:rsidRDefault="00000000">
            <w:pPr>
              <w:pStyle w:val="Normal0"/>
              <w:rPr>
                <w:color w:val="000000"/>
                <w:sz w:val="20"/>
              </w:rPr>
            </w:pPr>
            <w:r>
              <w:rPr>
                <w:color w:val="000000"/>
                <w:sz w:val="20"/>
              </w:rPr>
              <w:t xml:space="preserve"> </w:t>
            </w:r>
          </w:p>
        </w:tc>
        <w:tc>
          <w:tcPr>
            <w:tcW w:w="72" w:type="pct"/>
            <w:shd w:val="clear" w:color="auto" w:fill="CFF0FC"/>
            <w:tcMar>
              <w:top w:w="15" w:type="dxa"/>
              <w:left w:w="0" w:type="dxa"/>
              <w:bottom w:w="0" w:type="dxa"/>
              <w:right w:w="15" w:type="dxa"/>
            </w:tcMar>
            <w:vAlign w:val="bottom"/>
          </w:tcPr>
          <w:p w14:paraId="0D7F0D67"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double" w:sz="6" w:space="0" w:color="000000"/>
            </w:tcBorders>
            <w:shd w:val="clear" w:color="auto" w:fill="CFF0FC"/>
            <w:noWrap/>
            <w:tcMar>
              <w:top w:w="15" w:type="dxa"/>
              <w:left w:w="0" w:type="dxa"/>
              <w:bottom w:w="0" w:type="dxa"/>
              <w:right w:w="15" w:type="dxa"/>
            </w:tcMar>
            <w:vAlign w:val="bottom"/>
          </w:tcPr>
          <w:p w14:paraId="5E31E256" w14:textId="77777777" w:rsidR="009A5AEC" w:rsidRDefault="00000000">
            <w:pPr>
              <w:pStyle w:val="Normal0"/>
              <w:rPr>
                <w:color w:val="000000"/>
                <w:sz w:val="20"/>
              </w:rPr>
            </w:pPr>
            <w:r>
              <w:rPr>
                <w:color w:val="000000"/>
                <w:sz w:val="20"/>
              </w:rPr>
              <w:t>$</w:t>
            </w:r>
          </w:p>
        </w:tc>
        <w:tc>
          <w:tcPr>
            <w:tcW w:w="528" w:type="pct"/>
            <w:tcBorders>
              <w:top w:val="single" w:sz="2" w:space="0" w:color="000000"/>
              <w:bottom w:val="double" w:sz="6" w:space="0" w:color="000000"/>
            </w:tcBorders>
            <w:shd w:val="clear" w:color="auto" w:fill="CFF0FC"/>
            <w:noWrap/>
            <w:tcMar>
              <w:top w:w="15" w:type="dxa"/>
              <w:left w:w="0" w:type="dxa"/>
              <w:bottom w:w="0" w:type="dxa"/>
              <w:right w:w="15" w:type="dxa"/>
            </w:tcMar>
            <w:vAlign w:val="bottom"/>
          </w:tcPr>
          <w:p w14:paraId="3AC4E6BE" w14:textId="77777777" w:rsidR="009A5AEC" w:rsidRDefault="00000000">
            <w:pPr>
              <w:pStyle w:val="Normal0"/>
              <w:jc w:val="right"/>
              <w:rPr>
                <w:color w:val="000000"/>
                <w:sz w:val="20"/>
              </w:rPr>
            </w:pPr>
            <w:r>
              <w:rPr>
                <w:color w:val="000000"/>
                <w:sz w:val="20"/>
              </w:rPr>
              <w:t>20,919</w:t>
            </w:r>
          </w:p>
        </w:tc>
        <w:tc>
          <w:tcPr>
            <w:tcW w:w="50" w:type="pct"/>
            <w:shd w:val="clear" w:color="auto" w:fill="CFF0FC"/>
            <w:noWrap/>
            <w:tcMar>
              <w:top w:w="15" w:type="dxa"/>
              <w:left w:w="0" w:type="dxa"/>
              <w:bottom w:w="0" w:type="dxa"/>
              <w:right w:w="15" w:type="dxa"/>
            </w:tcMar>
            <w:vAlign w:val="bottom"/>
          </w:tcPr>
          <w:p w14:paraId="2ED4D746" w14:textId="77777777" w:rsidR="009A5AEC" w:rsidRDefault="00000000">
            <w:pPr>
              <w:pStyle w:val="Normal0"/>
              <w:rPr>
                <w:color w:val="000000"/>
                <w:sz w:val="20"/>
              </w:rPr>
            </w:pPr>
            <w:r>
              <w:rPr>
                <w:color w:val="000000"/>
                <w:sz w:val="20"/>
              </w:rPr>
              <w:t xml:space="preserve"> </w:t>
            </w:r>
          </w:p>
        </w:tc>
      </w:tr>
      <w:tr w:rsidR="003116D1" w14:paraId="2CF36A2B" w14:textId="77777777">
        <w:trPr>
          <w:cantSplit/>
          <w:jc w:val="center"/>
        </w:trPr>
        <w:tc>
          <w:tcPr>
            <w:tcW w:w="2195" w:type="pct"/>
            <w:shd w:val="clear" w:color="auto" w:fill="FFFFFF"/>
            <w:tcMar>
              <w:top w:w="15" w:type="dxa"/>
              <w:left w:w="0" w:type="dxa"/>
              <w:bottom w:w="0" w:type="dxa"/>
              <w:right w:w="15" w:type="dxa"/>
            </w:tcMar>
          </w:tcPr>
          <w:p w14:paraId="37AA5164" w14:textId="77777777" w:rsidR="009A5AEC" w:rsidRDefault="00000000">
            <w:pPr>
              <w:pStyle w:val="Normal0"/>
              <w:keepNext/>
              <w:rPr>
                <w:b/>
                <w:color w:val="000000"/>
                <w:sz w:val="20"/>
              </w:rPr>
            </w:pPr>
            <w:r>
              <w:rPr>
                <w:b/>
                <w:color w:val="000000"/>
                <w:sz w:val="20"/>
              </w:rPr>
              <w:t>Operating Income (Loss)</w:t>
            </w:r>
          </w:p>
        </w:tc>
        <w:tc>
          <w:tcPr>
            <w:tcW w:w="72" w:type="pct"/>
            <w:shd w:val="clear" w:color="auto" w:fill="FFFFFF"/>
            <w:tcMar>
              <w:top w:w="15" w:type="dxa"/>
              <w:left w:w="0" w:type="dxa"/>
              <w:bottom w:w="0" w:type="dxa"/>
              <w:right w:w="15" w:type="dxa"/>
            </w:tcMar>
            <w:vAlign w:val="bottom"/>
          </w:tcPr>
          <w:p w14:paraId="1C012DF7"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744D1EE4" w14:textId="77777777" w:rsidR="009A5AEC" w:rsidRDefault="00000000">
            <w:pPr>
              <w:pStyle w:val="Normal0"/>
              <w:rPr>
                <w:color w:val="000000"/>
                <w:sz w:val="20"/>
              </w:rPr>
            </w:pPr>
            <w:r>
              <w:rPr>
                <w:color w:val="000000"/>
                <w:sz w:val="20"/>
              </w:rPr>
              <w:t xml:space="preserve"> </w:t>
            </w:r>
          </w:p>
        </w:tc>
        <w:tc>
          <w:tcPr>
            <w:tcW w:w="528" w:type="pct"/>
            <w:tcBorders>
              <w:top w:val="double" w:sz="6" w:space="0" w:color="000000"/>
            </w:tcBorders>
            <w:shd w:val="clear" w:color="auto" w:fill="FFFFFF"/>
            <w:noWrap/>
            <w:tcMar>
              <w:top w:w="15" w:type="dxa"/>
              <w:left w:w="0" w:type="dxa"/>
              <w:bottom w:w="0" w:type="dxa"/>
              <w:right w:w="15" w:type="dxa"/>
            </w:tcMar>
            <w:vAlign w:val="bottom"/>
          </w:tcPr>
          <w:p w14:paraId="4DA6F994" w14:textId="77777777" w:rsidR="009A5AEC" w:rsidRDefault="00000000">
            <w:pPr>
              <w:pStyle w:val="Normal0"/>
              <w:jc w:val="right"/>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19C17A36" w14:textId="77777777" w:rsidR="009A5AEC" w:rsidRDefault="00000000">
            <w:pPr>
              <w:pStyle w:val="Normal0"/>
              <w:rPr>
                <w:color w:val="000000"/>
                <w:sz w:val="20"/>
              </w:rPr>
            </w:pPr>
            <w:r>
              <w:rPr>
                <w:color w:val="000000"/>
                <w:sz w:val="20"/>
              </w:rPr>
              <w:t xml:space="preserve"> </w:t>
            </w:r>
          </w:p>
        </w:tc>
        <w:tc>
          <w:tcPr>
            <w:tcW w:w="72" w:type="pct"/>
            <w:shd w:val="clear" w:color="auto" w:fill="FFFFFF"/>
            <w:tcMar>
              <w:top w:w="15" w:type="dxa"/>
              <w:left w:w="0" w:type="dxa"/>
              <w:bottom w:w="0" w:type="dxa"/>
              <w:right w:w="15" w:type="dxa"/>
            </w:tcMar>
            <w:vAlign w:val="bottom"/>
          </w:tcPr>
          <w:p w14:paraId="2E7A1C1F"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1D959513" w14:textId="77777777" w:rsidR="009A5AEC" w:rsidRDefault="00000000">
            <w:pPr>
              <w:pStyle w:val="Normal0"/>
              <w:rPr>
                <w:color w:val="000000"/>
                <w:sz w:val="20"/>
              </w:rPr>
            </w:pPr>
            <w:r>
              <w:rPr>
                <w:color w:val="000000"/>
                <w:sz w:val="20"/>
              </w:rPr>
              <w:t xml:space="preserve"> </w:t>
            </w:r>
          </w:p>
        </w:tc>
        <w:tc>
          <w:tcPr>
            <w:tcW w:w="528" w:type="pct"/>
            <w:tcBorders>
              <w:top w:val="double" w:sz="6" w:space="0" w:color="000000"/>
            </w:tcBorders>
            <w:shd w:val="clear" w:color="auto" w:fill="FFFFFF"/>
            <w:noWrap/>
            <w:tcMar>
              <w:top w:w="15" w:type="dxa"/>
              <w:left w:w="0" w:type="dxa"/>
              <w:bottom w:w="0" w:type="dxa"/>
              <w:right w:w="15" w:type="dxa"/>
            </w:tcMar>
            <w:vAlign w:val="bottom"/>
          </w:tcPr>
          <w:p w14:paraId="0E84BC24" w14:textId="77777777" w:rsidR="009A5AEC" w:rsidRDefault="00000000">
            <w:pPr>
              <w:pStyle w:val="Normal0"/>
              <w:jc w:val="right"/>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15327A70" w14:textId="77777777" w:rsidR="009A5AEC" w:rsidRDefault="00000000">
            <w:pPr>
              <w:pStyle w:val="Normal0"/>
              <w:rPr>
                <w:color w:val="000000"/>
                <w:sz w:val="20"/>
              </w:rPr>
            </w:pPr>
            <w:r>
              <w:rPr>
                <w:color w:val="000000"/>
                <w:sz w:val="20"/>
              </w:rPr>
              <w:t xml:space="preserve"> </w:t>
            </w:r>
          </w:p>
        </w:tc>
        <w:tc>
          <w:tcPr>
            <w:tcW w:w="72" w:type="pct"/>
            <w:shd w:val="clear" w:color="auto" w:fill="FFFFFF"/>
            <w:tcMar>
              <w:top w:w="15" w:type="dxa"/>
              <w:left w:w="0" w:type="dxa"/>
              <w:bottom w:w="0" w:type="dxa"/>
              <w:right w:w="15" w:type="dxa"/>
            </w:tcMar>
            <w:vAlign w:val="bottom"/>
          </w:tcPr>
          <w:p w14:paraId="4C8FC77F"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42E51E71" w14:textId="77777777" w:rsidR="009A5AEC" w:rsidRDefault="00000000">
            <w:pPr>
              <w:pStyle w:val="Normal0"/>
              <w:rPr>
                <w:color w:val="000000"/>
                <w:sz w:val="20"/>
              </w:rPr>
            </w:pPr>
            <w:r>
              <w:rPr>
                <w:color w:val="000000"/>
                <w:sz w:val="20"/>
              </w:rPr>
              <w:t xml:space="preserve"> </w:t>
            </w:r>
          </w:p>
        </w:tc>
        <w:tc>
          <w:tcPr>
            <w:tcW w:w="528" w:type="pct"/>
            <w:tcBorders>
              <w:top w:val="double" w:sz="6" w:space="0" w:color="000000"/>
            </w:tcBorders>
            <w:shd w:val="clear" w:color="auto" w:fill="FFFFFF"/>
            <w:noWrap/>
            <w:tcMar>
              <w:top w:w="15" w:type="dxa"/>
              <w:left w:w="0" w:type="dxa"/>
              <w:bottom w:w="0" w:type="dxa"/>
              <w:right w:w="15" w:type="dxa"/>
            </w:tcMar>
            <w:vAlign w:val="bottom"/>
          </w:tcPr>
          <w:p w14:paraId="6ACD9D94" w14:textId="77777777" w:rsidR="009A5AEC" w:rsidRDefault="00000000">
            <w:pPr>
              <w:pStyle w:val="Normal0"/>
              <w:jc w:val="right"/>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6D23305F" w14:textId="77777777" w:rsidR="009A5AEC" w:rsidRDefault="00000000">
            <w:pPr>
              <w:pStyle w:val="Normal0"/>
              <w:rPr>
                <w:color w:val="000000"/>
                <w:sz w:val="20"/>
              </w:rPr>
            </w:pPr>
            <w:r>
              <w:rPr>
                <w:color w:val="000000"/>
                <w:sz w:val="20"/>
              </w:rPr>
              <w:t xml:space="preserve"> </w:t>
            </w:r>
          </w:p>
        </w:tc>
        <w:tc>
          <w:tcPr>
            <w:tcW w:w="72" w:type="pct"/>
            <w:shd w:val="clear" w:color="auto" w:fill="FFFFFF"/>
            <w:tcMar>
              <w:top w:w="15" w:type="dxa"/>
              <w:left w:w="0" w:type="dxa"/>
              <w:bottom w:w="0" w:type="dxa"/>
              <w:right w:w="15" w:type="dxa"/>
            </w:tcMar>
            <w:vAlign w:val="bottom"/>
          </w:tcPr>
          <w:p w14:paraId="7A03A538"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78E64728" w14:textId="77777777" w:rsidR="009A5AEC" w:rsidRDefault="00000000">
            <w:pPr>
              <w:pStyle w:val="Normal0"/>
              <w:rPr>
                <w:color w:val="000000"/>
                <w:sz w:val="20"/>
              </w:rPr>
            </w:pPr>
            <w:r>
              <w:rPr>
                <w:color w:val="000000"/>
                <w:sz w:val="20"/>
              </w:rPr>
              <w:t xml:space="preserve"> </w:t>
            </w:r>
          </w:p>
        </w:tc>
        <w:tc>
          <w:tcPr>
            <w:tcW w:w="528" w:type="pct"/>
            <w:tcBorders>
              <w:top w:val="double" w:sz="6" w:space="0" w:color="000000"/>
            </w:tcBorders>
            <w:shd w:val="clear" w:color="auto" w:fill="FFFFFF"/>
            <w:noWrap/>
            <w:tcMar>
              <w:top w:w="15" w:type="dxa"/>
              <w:left w:w="0" w:type="dxa"/>
              <w:bottom w:w="0" w:type="dxa"/>
              <w:right w:w="15" w:type="dxa"/>
            </w:tcMar>
            <w:vAlign w:val="bottom"/>
          </w:tcPr>
          <w:p w14:paraId="3544C670" w14:textId="77777777" w:rsidR="009A5AEC" w:rsidRDefault="00000000">
            <w:pPr>
              <w:pStyle w:val="Normal0"/>
              <w:jc w:val="right"/>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2A7D88BC" w14:textId="77777777" w:rsidR="009A5AEC" w:rsidRDefault="00000000">
            <w:pPr>
              <w:pStyle w:val="Normal0"/>
              <w:rPr>
                <w:color w:val="000000"/>
                <w:sz w:val="20"/>
              </w:rPr>
            </w:pPr>
            <w:r>
              <w:rPr>
                <w:color w:val="000000"/>
                <w:sz w:val="20"/>
              </w:rPr>
              <w:t xml:space="preserve"> </w:t>
            </w:r>
          </w:p>
        </w:tc>
      </w:tr>
      <w:tr w:rsidR="003116D1" w14:paraId="54368F6E" w14:textId="77777777">
        <w:trPr>
          <w:cantSplit/>
          <w:jc w:val="center"/>
        </w:trPr>
        <w:tc>
          <w:tcPr>
            <w:tcW w:w="2195" w:type="pct"/>
            <w:shd w:val="clear" w:color="auto" w:fill="CFF0FC"/>
            <w:tcMar>
              <w:top w:w="15" w:type="dxa"/>
              <w:left w:w="0" w:type="dxa"/>
              <w:bottom w:w="0" w:type="dxa"/>
              <w:right w:w="15" w:type="dxa"/>
            </w:tcMar>
          </w:tcPr>
          <w:p w14:paraId="113CAD3E" w14:textId="77777777" w:rsidR="009A5AEC" w:rsidRDefault="00000000">
            <w:pPr>
              <w:pStyle w:val="Normal0"/>
              <w:keepNext/>
              <w:ind w:left="137"/>
              <w:rPr>
                <w:color w:val="000000"/>
                <w:sz w:val="20"/>
              </w:rPr>
            </w:pPr>
            <w:r>
              <w:rPr>
                <w:color w:val="000000"/>
                <w:sz w:val="20"/>
              </w:rPr>
              <w:t>Electronic components</w:t>
            </w:r>
          </w:p>
        </w:tc>
        <w:tc>
          <w:tcPr>
            <w:tcW w:w="72" w:type="pct"/>
            <w:shd w:val="clear" w:color="auto" w:fill="CFF0FC"/>
            <w:tcMar>
              <w:top w:w="15" w:type="dxa"/>
              <w:left w:w="0" w:type="dxa"/>
              <w:bottom w:w="0" w:type="dxa"/>
              <w:right w:w="15" w:type="dxa"/>
            </w:tcMar>
            <w:vAlign w:val="bottom"/>
          </w:tcPr>
          <w:p w14:paraId="5FCEF126" w14:textId="77777777" w:rsidR="009A5AEC" w:rsidRDefault="00000000">
            <w:pPr>
              <w:pStyle w:val="Normal0"/>
              <w:rPr>
                <w:color w:val="000000"/>
                <w:sz w:val="20"/>
              </w:rPr>
            </w:pPr>
            <w:r>
              <w:rPr>
                <w:color w:val="000000"/>
                <w:sz w:val="20"/>
              </w:rPr>
              <w:t xml:space="preserve"> </w:t>
            </w:r>
          </w:p>
        </w:tc>
        <w:tc>
          <w:tcPr>
            <w:tcW w:w="50" w:type="pct"/>
            <w:shd w:val="clear" w:color="auto" w:fill="CFF0FC"/>
            <w:noWrap/>
            <w:tcMar>
              <w:top w:w="15" w:type="dxa"/>
              <w:left w:w="0" w:type="dxa"/>
              <w:bottom w:w="0" w:type="dxa"/>
              <w:right w:w="15" w:type="dxa"/>
            </w:tcMar>
            <w:vAlign w:val="bottom"/>
          </w:tcPr>
          <w:p w14:paraId="21061F8A" w14:textId="77777777" w:rsidR="009A5AEC" w:rsidRDefault="00000000">
            <w:pPr>
              <w:pStyle w:val="Normal0"/>
              <w:rPr>
                <w:color w:val="000000"/>
                <w:sz w:val="20"/>
              </w:rPr>
            </w:pPr>
            <w:r>
              <w:rPr>
                <w:color w:val="000000"/>
                <w:sz w:val="20"/>
              </w:rPr>
              <w:t>$</w:t>
            </w:r>
          </w:p>
        </w:tc>
        <w:tc>
          <w:tcPr>
            <w:tcW w:w="528" w:type="pct"/>
            <w:shd w:val="clear" w:color="auto" w:fill="CFF0FC"/>
            <w:noWrap/>
            <w:tcMar>
              <w:top w:w="15" w:type="dxa"/>
              <w:left w:w="0" w:type="dxa"/>
              <w:bottom w:w="0" w:type="dxa"/>
              <w:right w:w="15" w:type="dxa"/>
            </w:tcMar>
            <w:vAlign w:val="bottom"/>
          </w:tcPr>
          <w:p w14:paraId="02F4B7B8" w14:textId="77777777" w:rsidR="009A5AEC" w:rsidRDefault="00000000">
            <w:pPr>
              <w:pStyle w:val="Normal0"/>
              <w:jc w:val="right"/>
              <w:rPr>
                <w:color w:val="000000"/>
                <w:sz w:val="20"/>
              </w:rPr>
            </w:pPr>
            <w:r>
              <w:rPr>
                <w:color w:val="000000"/>
                <w:sz w:val="20"/>
              </w:rPr>
              <w:t>756</w:t>
            </w:r>
          </w:p>
        </w:tc>
        <w:tc>
          <w:tcPr>
            <w:tcW w:w="50" w:type="pct"/>
            <w:shd w:val="clear" w:color="auto" w:fill="CFF0FC"/>
            <w:noWrap/>
            <w:tcMar>
              <w:top w:w="15" w:type="dxa"/>
              <w:left w:w="0" w:type="dxa"/>
              <w:bottom w:w="0" w:type="dxa"/>
              <w:right w:w="15" w:type="dxa"/>
            </w:tcMar>
            <w:vAlign w:val="bottom"/>
          </w:tcPr>
          <w:p w14:paraId="0138C55F" w14:textId="77777777" w:rsidR="009A5AEC" w:rsidRDefault="00000000">
            <w:pPr>
              <w:pStyle w:val="Normal0"/>
              <w:rPr>
                <w:color w:val="000000"/>
                <w:sz w:val="20"/>
              </w:rPr>
            </w:pPr>
            <w:r>
              <w:rPr>
                <w:color w:val="000000"/>
                <w:sz w:val="20"/>
              </w:rPr>
              <w:t xml:space="preserve"> </w:t>
            </w:r>
          </w:p>
        </w:tc>
        <w:tc>
          <w:tcPr>
            <w:tcW w:w="72" w:type="pct"/>
            <w:shd w:val="clear" w:color="auto" w:fill="CFF0FC"/>
            <w:tcMar>
              <w:top w:w="15" w:type="dxa"/>
              <w:left w:w="0" w:type="dxa"/>
              <w:bottom w:w="0" w:type="dxa"/>
              <w:right w:w="15" w:type="dxa"/>
            </w:tcMar>
            <w:vAlign w:val="bottom"/>
          </w:tcPr>
          <w:p w14:paraId="79F8717A" w14:textId="77777777" w:rsidR="009A5AEC" w:rsidRDefault="00000000">
            <w:pPr>
              <w:pStyle w:val="Normal0"/>
              <w:rPr>
                <w:color w:val="000000"/>
                <w:sz w:val="20"/>
              </w:rPr>
            </w:pPr>
            <w:r>
              <w:rPr>
                <w:color w:val="000000"/>
                <w:sz w:val="20"/>
              </w:rPr>
              <w:t xml:space="preserve"> </w:t>
            </w:r>
          </w:p>
        </w:tc>
        <w:tc>
          <w:tcPr>
            <w:tcW w:w="50" w:type="pct"/>
            <w:shd w:val="clear" w:color="auto" w:fill="CFF0FC"/>
            <w:noWrap/>
            <w:tcMar>
              <w:top w:w="15" w:type="dxa"/>
              <w:left w:w="0" w:type="dxa"/>
              <w:bottom w:w="0" w:type="dxa"/>
              <w:right w:w="15" w:type="dxa"/>
            </w:tcMar>
            <w:vAlign w:val="bottom"/>
          </w:tcPr>
          <w:p w14:paraId="4B264D59" w14:textId="77777777" w:rsidR="009A5AEC" w:rsidRDefault="00000000">
            <w:pPr>
              <w:pStyle w:val="Normal0"/>
              <w:rPr>
                <w:color w:val="000000"/>
                <w:sz w:val="20"/>
              </w:rPr>
            </w:pPr>
            <w:r>
              <w:rPr>
                <w:color w:val="000000"/>
                <w:sz w:val="20"/>
              </w:rPr>
              <w:t>$</w:t>
            </w:r>
          </w:p>
        </w:tc>
        <w:tc>
          <w:tcPr>
            <w:tcW w:w="528" w:type="pct"/>
            <w:shd w:val="clear" w:color="auto" w:fill="CFF0FC"/>
            <w:noWrap/>
            <w:tcMar>
              <w:top w:w="15" w:type="dxa"/>
              <w:left w:w="0" w:type="dxa"/>
              <w:bottom w:w="0" w:type="dxa"/>
              <w:right w:w="15" w:type="dxa"/>
            </w:tcMar>
            <w:vAlign w:val="bottom"/>
          </w:tcPr>
          <w:p w14:paraId="17723C0E" w14:textId="77777777" w:rsidR="009A5AEC" w:rsidRDefault="00000000">
            <w:pPr>
              <w:pStyle w:val="Normal0"/>
              <w:jc w:val="right"/>
              <w:rPr>
                <w:color w:val="000000"/>
                <w:sz w:val="20"/>
              </w:rPr>
            </w:pPr>
            <w:r>
              <w:rPr>
                <w:color w:val="000000"/>
                <w:sz w:val="20"/>
              </w:rPr>
              <w:t>854</w:t>
            </w:r>
          </w:p>
        </w:tc>
        <w:tc>
          <w:tcPr>
            <w:tcW w:w="50" w:type="pct"/>
            <w:shd w:val="clear" w:color="auto" w:fill="CFF0FC"/>
            <w:noWrap/>
            <w:tcMar>
              <w:top w:w="15" w:type="dxa"/>
              <w:left w:w="0" w:type="dxa"/>
              <w:bottom w:w="0" w:type="dxa"/>
              <w:right w:w="15" w:type="dxa"/>
            </w:tcMar>
            <w:vAlign w:val="bottom"/>
          </w:tcPr>
          <w:p w14:paraId="1476AE12" w14:textId="77777777" w:rsidR="009A5AEC" w:rsidRDefault="00000000">
            <w:pPr>
              <w:pStyle w:val="Normal0"/>
              <w:rPr>
                <w:color w:val="000000"/>
                <w:sz w:val="20"/>
              </w:rPr>
            </w:pPr>
            <w:r>
              <w:rPr>
                <w:color w:val="000000"/>
                <w:sz w:val="20"/>
              </w:rPr>
              <w:t xml:space="preserve"> </w:t>
            </w:r>
          </w:p>
        </w:tc>
        <w:tc>
          <w:tcPr>
            <w:tcW w:w="72" w:type="pct"/>
            <w:shd w:val="clear" w:color="auto" w:fill="CFF0FC"/>
            <w:tcMar>
              <w:top w:w="15" w:type="dxa"/>
              <w:left w:w="0" w:type="dxa"/>
              <w:bottom w:w="0" w:type="dxa"/>
              <w:right w:w="15" w:type="dxa"/>
            </w:tcMar>
            <w:vAlign w:val="bottom"/>
          </w:tcPr>
          <w:p w14:paraId="280098DF" w14:textId="77777777" w:rsidR="009A5AEC" w:rsidRDefault="00000000">
            <w:pPr>
              <w:pStyle w:val="Normal0"/>
              <w:rPr>
                <w:color w:val="000000"/>
                <w:sz w:val="20"/>
              </w:rPr>
            </w:pPr>
            <w:r>
              <w:rPr>
                <w:color w:val="000000"/>
                <w:sz w:val="20"/>
              </w:rPr>
              <w:t xml:space="preserve"> </w:t>
            </w:r>
          </w:p>
        </w:tc>
        <w:tc>
          <w:tcPr>
            <w:tcW w:w="50" w:type="pct"/>
            <w:shd w:val="clear" w:color="auto" w:fill="CFF0FC"/>
            <w:noWrap/>
            <w:tcMar>
              <w:top w:w="15" w:type="dxa"/>
              <w:left w:w="0" w:type="dxa"/>
              <w:bottom w:w="0" w:type="dxa"/>
              <w:right w:w="15" w:type="dxa"/>
            </w:tcMar>
            <w:vAlign w:val="bottom"/>
          </w:tcPr>
          <w:p w14:paraId="39F55C8F" w14:textId="77777777" w:rsidR="009A5AEC" w:rsidRDefault="00000000">
            <w:pPr>
              <w:pStyle w:val="Normal0"/>
              <w:rPr>
                <w:color w:val="000000"/>
                <w:sz w:val="20"/>
              </w:rPr>
            </w:pPr>
            <w:r>
              <w:rPr>
                <w:color w:val="000000"/>
                <w:sz w:val="20"/>
              </w:rPr>
              <w:t>$</w:t>
            </w:r>
          </w:p>
        </w:tc>
        <w:tc>
          <w:tcPr>
            <w:tcW w:w="528" w:type="pct"/>
            <w:shd w:val="clear" w:color="auto" w:fill="CFF0FC"/>
            <w:noWrap/>
            <w:tcMar>
              <w:top w:w="15" w:type="dxa"/>
              <w:left w:w="0" w:type="dxa"/>
              <w:bottom w:w="0" w:type="dxa"/>
              <w:right w:w="15" w:type="dxa"/>
            </w:tcMar>
            <w:vAlign w:val="bottom"/>
          </w:tcPr>
          <w:p w14:paraId="14ECA09C" w14:textId="77777777" w:rsidR="009A5AEC" w:rsidRDefault="00000000">
            <w:pPr>
              <w:pStyle w:val="Normal0"/>
              <w:jc w:val="right"/>
              <w:rPr>
                <w:color w:val="000000"/>
                <w:sz w:val="20"/>
              </w:rPr>
            </w:pPr>
            <w:r>
              <w:rPr>
                <w:color w:val="000000"/>
                <w:sz w:val="20"/>
              </w:rPr>
              <w:t>2,521</w:t>
            </w:r>
          </w:p>
        </w:tc>
        <w:tc>
          <w:tcPr>
            <w:tcW w:w="50" w:type="pct"/>
            <w:shd w:val="clear" w:color="auto" w:fill="CFF0FC"/>
            <w:noWrap/>
            <w:tcMar>
              <w:top w:w="15" w:type="dxa"/>
              <w:left w:w="0" w:type="dxa"/>
              <w:bottom w:w="0" w:type="dxa"/>
              <w:right w:w="15" w:type="dxa"/>
            </w:tcMar>
            <w:vAlign w:val="bottom"/>
          </w:tcPr>
          <w:p w14:paraId="54DA3F29" w14:textId="77777777" w:rsidR="009A5AEC" w:rsidRDefault="00000000">
            <w:pPr>
              <w:pStyle w:val="Normal0"/>
              <w:rPr>
                <w:color w:val="000000"/>
                <w:sz w:val="20"/>
              </w:rPr>
            </w:pPr>
            <w:r>
              <w:rPr>
                <w:color w:val="000000"/>
                <w:sz w:val="20"/>
              </w:rPr>
              <w:t xml:space="preserve"> </w:t>
            </w:r>
          </w:p>
        </w:tc>
        <w:tc>
          <w:tcPr>
            <w:tcW w:w="72" w:type="pct"/>
            <w:shd w:val="clear" w:color="auto" w:fill="CFF0FC"/>
            <w:tcMar>
              <w:top w:w="15" w:type="dxa"/>
              <w:left w:w="0" w:type="dxa"/>
              <w:bottom w:w="0" w:type="dxa"/>
              <w:right w:w="15" w:type="dxa"/>
            </w:tcMar>
            <w:vAlign w:val="bottom"/>
          </w:tcPr>
          <w:p w14:paraId="53B5F477" w14:textId="77777777" w:rsidR="009A5AEC" w:rsidRDefault="00000000">
            <w:pPr>
              <w:pStyle w:val="Normal0"/>
              <w:rPr>
                <w:color w:val="000000"/>
                <w:sz w:val="20"/>
              </w:rPr>
            </w:pPr>
            <w:r>
              <w:rPr>
                <w:color w:val="000000"/>
                <w:sz w:val="20"/>
              </w:rPr>
              <w:t xml:space="preserve"> </w:t>
            </w:r>
          </w:p>
        </w:tc>
        <w:tc>
          <w:tcPr>
            <w:tcW w:w="50" w:type="pct"/>
            <w:shd w:val="clear" w:color="auto" w:fill="CFF0FC"/>
            <w:noWrap/>
            <w:tcMar>
              <w:top w:w="15" w:type="dxa"/>
              <w:left w:w="0" w:type="dxa"/>
              <w:bottom w:w="0" w:type="dxa"/>
              <w:right w:w="15" w:type="dxa"/>
            </w:tcMar>
            <w:vAlign w:val="bottom"/>
          </w:tcPr>
          <w:p w14:paraId="06705AA4" w14:textId="77777777" w:rsidR="009A5AEC" w:rsidRDefault="00000000">
            <w:pPr>
              <w:pStyle w:val="Normal0"/>
              <w:rPr>
                <w:color w:val="000000"/>
                <w:sz w:val="20"/>
              </w:rPr>
            </w:pPr>
            <w:r>
              <w:rPr>
                <w:color w:val="000000"/>
                <w:sz w:val="20"/>
              </w:rPr>
              <w:t>$</w:t>
            </w:r>
          </w:p>
        </w:tc>
        <w:tc>
          <w:tcPr>
            <w:tcW w:w="528" w:type="pct"/>
            <w:shd w:val="clear" w:color="auto" w:fill="CFF0FC"/>
            <w:noWrap/>
            <w:tcMar>
              <w:top w:w="15" w:type="dxa"/>
              <w:left w:w="0" w:type="dxa"/>
              <w:bottom w:w="0" w:type="dxa"/>
              <w:right w:w="15" w:type="dxa"/>
            </w:tcMar>
            <w:vAlign w:val="bottom"/>
          </w:tcPr>
          <w:p w14:paraId="1F51FE27" w14:textId="77777777" w:rsidR="009A5AEC" w:rsidRDefault="00000000">
            <w:pPr>
              <w:pStyle w:val="Normal0"/>
              <w:jc w:val="right"/>
              <w:rPr>
                <w:color w:val="000000"/>
                <w:sz w:val="20"/>
              </w:rPr>
            </w:pPr>
            <w:r>
              <w:rPr>
                <w:color w:val="000000"/>
                <w:sz w:val="20"/>
              </w:rPr>
              <w:t>2,037</w:t>
            </w:r>
          </w:p>
        </w:tc>
        <w:tc>
          <w:tcPr>
            <w:tcW w:w="50" w:type="pct"/>
            <w:shd w:val="clear" w:color="auto" w:fill="CFF0FC"/>
            <w:noWrap/>
            <w:tcMar>
              <w:top w:w="15" w:type="dxa"/>
              <w:left w:w="0" w:type="dxa"/>
              <w:bottom w:w="0" w:type="dxa"/>
              <w:right w:w="15" w:type="dxa"/>
            </w:tcMar>
            <w:vAlign w:val="bottom"/>
          </w:tcPr>
          <w:p w14:paraId="278FD6F7" w14:textId="77777777" w:rsidR="009A5AEC" w:rsidRDefault="00000000">
            <w:pPr>
              <w:pStyle w:val="Normal0"/>
              <w:rPr>
                <w:color w:val="000000"/>
                <w:sz w:val="20"/>
              </w:rPr>
            </w:pPr>
            <w:r>
              <w:rPr>
                <w:color w:val="000000"/>
                <w:sz w:val="20"/>
              </w:rPr>
              <w:t xml:space="preserve"> </w:t>
            </w:r>
          </w:p>
        </w:tc>
      </w:tr>
      <w:tr w:rsidR="003116D1" w14:paraId="4BE8B440" w14:textId="77777777">
        <w:trPr>
          <w:cantSplit/>
          <w:jc w:val="center"/>
        </w:trPr>
        <w:tc>
          <w:tcPr>
            <w:tcW w:w="2195" w:type="pct"/>
            <w:shd w:val="clear" w:color="auto" w:fill="FFFFFF"/>
            <w:tcMar>
              <w:top w:w="15" w:type="dxa"/>
              <w:left w:w="0" w:type="dxa"/>
              <w:bottom w:w="0" w:type="dxa"/>
              <w:right w:w="15" w:type="dxa"/>
            </w:tcMar>
          </w:tcPr>
          <w:p w14:paraId="4C2956A9" w14:textId="77777777" w:rsidR="009A5AEC" w:rsidRDefault="00000000">
            <w:pPr>
              <w:pStyle w:val="Normal0"/>
              <w:keepNext/>
              <w:ind w:left="137"/>
              <w:rPr>
                <w:color w:val="000000"/>
                <w:sz w:val="20"/>
              </w:rPr>
            </w:pPr>
            <w:r>
              <w:rPr>
                <w:color w:val="000000"/>
                <w:sz w:val="20"/>
              </w:rPr>
              <w:t>Electronic instruments</w:t>
            </w:r>
          </w:p>
        </w:tc>
        <w:tc>
          <w:tcPr>
            <w:tcW w:w="72" w:type="pct"/>
            <w:shd w:val="clear" w:color="auto" w:fill="FFFFFF"/>
            <w:tcMar>
              <w:top w:w="15" w:type="dxa"/>
              <w:left w:w="0" w:type="dxa"/>
              <w:bottom w:w="0" w:type="dxa"/>
              <w:right w:w="15" w:type="dxa"/>
            </w:tcMar>
            <w:vAlign w:val="bottom"/>
          </w:tcPr>
          <w:p w14:paraId="68EE7A38"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1FD3949B" w14:textId="77777777" w:rsidR="009A5AEC" w:rsidRDefault="00000000">
            <w:pPr>
              <w:pStyle w:val="Normal0"/>
              <w:rPr>
                <w:color w:val="000000"/>
                <w:sz w:val="20"/>
              </w:rPr>
            </w:pPr>
            <w:r>
              <w:rPr>
                <w:color w:val="000000"/>
                <w:sz w:val="20"/>
              </w:rPr>
              <w:t xml:space="preserve"> </w:t>
            </w:r>
          </w:p>
        </w:tc>
        <w:tc>
          <w:tcPr>
            <w:tcW w:w="528" w:type="pct"/>
            <w:shd w:val="clear" w:color="auto" w:fill="FFFFFF"/>
            <w:noWrap/>
            <w:tcMar>
              <w:top w:w="15" w:type="dxa"/>
              <w:left w:w="0" w:type="dxa"/>
              <w:bottom w:w="0" w:type="dxa"/>
              <w:right w:w="15" w:type="dxa"/>
            </w:tcMar>
            <w:vAlign w:val="bottom"/>
          </w:tcPr>
          <w:p w14:paraId="12F8C51E" w14:textId="77777777" w:rsidR="009A5AEC" w:rsidRDefault="00000000">
            <w:pPr>
              <w:pStyle w:val="Normal0"/>
              <w:jc w:val="right"/>
              <w:rPr>
                <w:color w:val="000000"/>
                <w:sz w:val="20"/>
              </w:rPr>
            </w:pPr>
            <w:r>
              <w:rPr>
                <w:color w:val="000000"/>
                <w:sz w:val="20"/>
              </w:rPr>
              <w:t>(39</w:t>
            </w:r>
          </w:p>
        </w:tc>
        <w:tc>
          <w:tcPr>
            <w:tcW w:w="50" w:type="pct"/>
            <w:shd w:val="clear" w:color="auto" w:fill="FFFFFF"/>
            <w:noWrap/>
            <w:tcMar>
              <w:top w:w="15" w:type="dxa"/>
              <w:left w:w="0" w:type="dxa"/>
              <w:bottom w:w="0" w:type="dxa"/>
              <w:right w:w="15" w:type="dxa"/>
            </w:tcMar>
            <w:vAlign w:val="bottom"/>
          </w:tcPr>
          <w:p w14:paraId="6CAEDC53" w14:textId="77777777" w:rsidR="009A5AEC" w:rsidRDefault="00000000">
            <w:pPr>
              <w:pStyle w:val="Normal0"/>
              <w:rPr>
                <w:color w:val="000000"/>
                <w:sz w:val="20"/>
              </w:rPr>
            </w:pPr>
            <w:r>
              <w:rPr>
                <w:color w:val="000000"/>
                <w:sz w:val="20"/>
              </w:rPr>
              <w:t>)</w:t>
            </w:r>
          </w:p>
        </w:tc>
        <w:tc>
          <w:tcPr>
            <w:tcW w:w="72" w:type="pct"/>
            <w:shd w:val="clear" w:color="auto" w:fill="FFFFFF"/>
            <w:tcMar>
              <w:top w:w="15" w:type="dxa"/>
              <w:left w:w="0" w:type="dxa"/>
              <w:bottom w:w="0" w:type="dxa"/>
              <w:right w:w="15" w:type="dxa"/>
            </w:tcMar>
            <w:vAlign w:val="bottom"/>
          </w:tcPr>
          <w:p w14:paraId="0B47407C"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478190EA" w14:textId="77777777" w:rsidR="009A5AEC" w:rsidRDefault="00000000">
            <w:pPr>
              <w:pStyle w:val="Normal0"/>
              <w:rPr>
                <w:color w:val="000000"/>
                <w:sz w:val="20"/>
              </w:rPr>
            </w:pPr>
            <w:r>
              <w:rPr>
                <w:color w:val="000000"/>
                <w:sz w:val="20"/>
              </w:rPr>
              <w:t xml:space="preserve"> </w:t>
            </w:r>
          </w:p>
        </w:tc>
        <w:tc>
          <w:tcPr>
            <w:tcW w:w="528" w:type="pct"/>
            <w:shd w:val="clear" w:color="auto" w:fill="FFFFFF"/>
            <w:noWrap/>
            <w:tcMar>
              <w:top w:w="15" w:type="dxa"/>
              <w:left w:w="0" w:type="dxa"/>
              <w:bottom w:w="0" w:type="dxa"/>
              <w:right w:w="15" w:type="dxa"/>
            </w:tcMar>
            <w:vAlign w:val="bottom"/>
          </w:tcPr>
          <w:p w14:paraId="50A13FDE" w14:textId="77777777" w:rsidR="009A5AEC" w:rsidRDefault="00000000">
            <w:pPr>
              <w:pStyle w:val="Normal0"/>
              <w:jc w:val="right"/>
              <w:rPr>
                <w:color w:val="000000"/>
                <w:sz w:val="20"/>
              </w:rPr>
            </w:pPr>
            <w:r>
              <w:rPr>
                <w:color w:val="000000"/>
                <w:sz w:val="20"/>
              </w:rPr>
              <w:t>32</w:t>
            </w:r>
          </w:p>
        </w:tc>
        <w:tc>
          <w:tcPr>
            <w:tcW w:w="50" w:type="pct"/>
            <w:shd w:val="clear" w:color="auto" w:fill="FFFFFF"/>
            <w:noWrap/>
            <w:tcMar>
              <w:top w:w="15" w:type="dxa"/>
              <w:left w:w="0" w:type="dxa"/>
              <w:bottom w:w="0" w:type="dxa"/>
              <w:right w:w="15" w:type="dxa"/>
            </w:tcMar>
            <w:vAlign w:val="bottom"/>
          </w:tcPr>
          <w:p w14:paraId="551BFFD7" w14:textId="77777777" w:rsidR="009A5AEC" w:rsidRDefault="00000000">
            <w:pPr>
              <w:pStyle w:val="Normal0"/>
              <w:rPr>
                <w:color w:val="000000"/>
                <w:sz w:val="20"/>
              </w:rPr>
            </w:pPr>
            <w:r>
              <w:rPr>
                <w:color w:val="000000"/>
                <w:sz w:val="20"/>
              </w:rPr>
              <w:t xml:space="preserve"> </w:t>
            </w:r>
          </w:p>
        </w:tc>
        <w:tc>
          <w:tcPr>
            <w:tcW w:w="72" w:type="pct"/>
            <w:shd w:val="clear" w:color="auto" w:fill="FFFFFF"/>
            <w:tcMar>
              <w:top w:w="15" w:type="dxa"/>
              <w:left w:w="0" w:type="dxa"/>
              <w:bottom w:w="0" w:type="dxa"/>
              <w:right w:w="15" w:type="dxa"/>
            </w:tcMar>
            <w:vAlign w:val="bottom"/>
          </w:tcPr>
          <w:p w14:paraId="2E32ACEE"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6920E76C" w14:textId="77777777" w:rsidR="009A5AEC" w:rsidRDefault="00000000">
            <w:pPr>
              <w:pStyle w:val="Normal0"/>
              <w:rPr>
                <w:color w:val="000000"/>
                <w:sz w:val="20"/>
              </w:rPr>
            </w:pPr>
            <w:r>
              <w:rPr>
                <w:color w:val="000000"/>
                <w:sz w:val="20"/>
              </w:rPr>
              <w:t xml:space="preserve"> </w:t>
            </w:r>
          </w:p>
        </w:tc>
        <w:tc>
          <w:tcPr>
            <w:tcW w:w="528" w:type="pct"/>
            <w:shd w:val="clear" w:color="auto" w:fill="FFFFFF"/>
            <w:noWrap/>
            <w:tcMar>
              <w:top w:w="15" w:type="dxa"/>
              <w:left w:w="0" w:type="dxa"/>
              <w:bottom w:w="0" w:type="dxa"/>
              <w:right w:w="15" w:type="dxa"/>
            </w:tcMar>
            <w:vAlign w:val="bottom"/>
          </w:tcPr>
          <w:p w14:paraId="2E5B0695" w14:textId="77777777" w:rsidR="009A5AEC" w:rsidRDefault="00000000">
            <w:pPr>
              <w:pStyle w:val="Normal0"/>
              <w:jc w:val="right"/>
              <w:rPr>
                <w:color w:val="000000"/>
                <w:sz w:val="20"/>
              </w:rPr>
            </w:pPr>
            <w:r>
              <w:rPr>
                <w:color w:val="000000"/>
                <w:sz w:val="20"/>
              </w:rPr>
              <w:t>(53</w:t>
            </w:r>
          </w:p>
        </w:tc>
        <w:tc>
          <w:tcPr>
            <w:tcW w:w="50" w:type="pct"/>
            <w:shd w:val="clear" w:color="auto" w:fill="FFFFFF"/>
            <w:noWrap/>
            <w:tcMar>
              <w:top w:w="15" w:type="dxa"/>
              <w:left w:w="0" w:type="dxa"/>
              <w:bottom w:w="0" w:type="dxa"/>
              <w:right w:w="15" w:type="dxa"/>
            </w:tcMar>
            <w:vAlign w:val="bottom"/>
          </w:tcPr>
          <w:p w14:paraId="75184EA1" w14:textId="77777777" w:rsidR="009A5AEC" w:rsidRDefault="00000000">
            <w:pPr>
              <w:pStyle w:val="Normal0"/>
              <w:rPr>
                <w:color w:val="000000"/>
                <w:sz w:val="20"/>
              </w:rPr>
            </w:pPr>
            <w:r>
              <w:rPr>
                <w:color w:val="000000"/>
                <w:sz w:val="20"/>
              </w:rPr>
              <w:t>)</w:t>
            </w:r>
          </w:p>
        </w:tc>
        <w:tc>
          <w:tcPr>
            <w:tcW w:w="72" w:type="pct"/>
            <w:shd w:val="clear" w:color="auto" w:fill="FFFFFF"/>
            <w:tcMar>
              <w:top w:w="15" w:type="dxa"/>
              <w:left w:w="0" w:type="dxa"/>
              <w:bottom w:w="0" w:type="dxa"/>
              <w:right w:w="15" w:type="dxa"/>
            </w:tcMar>
            <w:vAlign w:val="bottom"/>
          </w:tcPr>
          <w:p w14:paraId="408D61C9"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0AED3A0F" w14:textId="77777777" w:rsidR="009A5AEC" w:rsidRDefault="00000000">
            <w:pPr>
              <w:pStyle w:val="Normal0"/>
              <w:rPr>
                <w:color w:val="000000"/>
                <w:sz w:val="20"/>
              </w:rPr>
            </w:pPr>
            <w:r>
              <w:rPr>
                <w:color w:val="000000"/>
                <w:sz w:val="20"/>
              </w:rPr>
              <w:t xml:space="preserve"> </w:t>
            </w:r>
          </w:p>
        </w:tc>
        <w:tc>
          <w:tcPr>
            <w:tcW w:w="528" w:type="pct"/>
            <w:shd w:val="clear" w:color="auto" w:fill="FFFFFF"/>
            <w:noWrap/>
            <w:tcMar>
              <w:top w:w="15" w:type="dxa"/>
              <w:left w:w="0" w:type="dxa"/>
              <w:bottom w:w="0" w:type="dxa"/>
              <w:right w:w="15" w:type="dxa"/>
            </w:tcMar>
            <w:vAlign w:val="bottom"/>
          </w:tcPr>
          <w:p w14:paraId="49D9035A" w14:textId="77777777" w:rsidR="009A5AEC" w:rsidRDefault="00000000">
            <w:pPr>
              <w:pStyle w:val="Normal0"/>
              <w:jc w:val="right"/>
              <w:rPr>
                <w:color w:val="000000"/>
                <w:sz w:val="20"/>
              </w:rPr>
            </w:pPr>
            <w:r>
              <w:rPr>
                <w:color w:val="000000"/>
                <w:sz w:val="20"/>
              </w:rPr>
              <w:t>150</w:t>
            </w:r>
          </w:p>
        </w:tc>
        <w:tc>
          <w:tcPr>
            <w:tcW w:w="50" w:type="pct"/>
            <w:shd w:val="clear" w:color="auto" w:fill="FFFFFF"/>
            <w:noWrap/>
            <w:tcMar>
              <w:top w:w="15" w:type="dxa"/>
              <w:left w:w="0" w:type="dxa"/>
              <w:bottom w:w="0" w:type="dxa"/>
              <w:right w:w="15" w:type="dxa"/>
            </w:tcMar>
            <w:vAlign w:val="bottom"/>
          </w:tcPr>
          <w:p w14:paraId="25626C7D" w14:textId="77777777" w:rsidR="009A5AEC" w:rsidRDefault="00000000">
            <w:pPr>
              <w:pStyle w:val="Normal0"/>
              <w:rPr>
                <w:color w:val="000000"/>
                <w:sz w:val="20"/>
              </w:rPr>
            </w:pPr>
            <w:r>
              <w:rPr>
                <w:color w:val="000000"/>
                <w:sz w:val="20"/>
              </w:rPr>
              <w:t xml:space="preserve"> </w:t>
            </w:r>
          </w:p>
        </w:tc>
      </w:tr>
      <w:tr w:rsidR="003116D1" w14:paraId="2FD22630" w14:textId="77777777">
        <w:trPr>
          <w:cantSplit/>
          <w:jc w:val="center"/>
        </w:trPr>
        <w:tc>
          <w:tcPr>
            <w:tcW w:w="2195" w:type="pct"/>
            <w:shd w:val="clear" w:color="auto" w:fill="CFF0FC"/>
            <w:tcMar>
              <w:top w:w="15" w:type="dxa"/>
              <w:left w:w="0" w:type="dxa"/>
              <w:bottom w:w="0" w:type="dxa"/>
              <w:right w:w="15" w:type="dxa"/>
            </w:tcMar>
          </w:tcPr>
          <w:p w14:paraId="3957E7F9" w14:textId="77777777" w:rsidR="009A5AEC" w:rsidRDefault="00000000">
            <w:pPr>
              <w:pStyle w:val="Normal0"/>
              <w:keepNext/>
              <w:ind w:left="137"/>
              <w:rPr>
                <w:color w:val="000000"/>
                <w:sz w:val="20"/>
              </w:rPr>
            </w:pPr>
            <w:r>
              <w:rPr>
                <w:color w:val="000000"/>
                <w:sz w:val="20"/>
              </w:rPr>
              <w:t>Unallocated corporate expense</w:t>
            </w:r>
          </w:p>
        </w:tc>
        <w:tc>
          <w:tcPr>
            <w:tcW w:w="72" w:type="pct"/>
            <w:shd w:val="clear" w:color="auto" w:fill="CFF0FC"/>
            <w:tcMar>
              <w:top w:w="15" w:type="dxa"/>
              <w:left w:w="0" w:type="dxa"/>
              <w:bottom w:w="0" w:type="dxa"/>
              <w:right w:w="15" w:type="dxa"/>
            </w:tcMar>
            <w:vAlign w:val="bottom"/>
          </w:tcPr>
          <w:p w14:paraId="7C6B046F"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CFF0FC"/>
            <w:noWrap/>
            <w:tcMar>
              <w:top w:w="15" w:type="dxa"/>
              <w:left w:w="0" w:type="dxa"/>
              <w:bottom w:w="0" w:type="dxa"/>
              <w:right w:w="15" w:type="dxa"/>
            </w:tcMar>
            <w:vAlign w:val="bottom"/>
          </w:tcPr>
          <w:p w14:paraId="30961361" w14:textId="77777777" w:rsidR="009A5AEC" w:rsidRDefault="00000000">
            <w:pPr>
              <w:pStyle w:val="Normal0"/>
              <w:rPr>
                <w:color w:val="000000"/>
                <w:sz w:val="20"/>
              </w:rPr>
            </w:pPr>
            <w:r>
              <w:rPr>
                <w:color w:val="000000"/>
                <w:sz w:val="20"/>
              </w:rPr>
              <w:t xml:space="preserve"> </w:t>
            </w:r>
          </w:p>
        </w:tc>
        <w:tc>
          <w:tcPr>
            <w:tcW w:w="528" w:type="pct"/>
            <w:tcBorders>
              <w:bottom w:val="single" w:sz="2" w:space="0" w:color="000000"/>
            </w:tcBorders>
            <w:shd w:val="clear" w:color="auto" w:fill="CFF0FC"/>
            <w:noWrap/>
            <w:tcMar>
              <w:top w:w="15" w:type="dxa"/>
              <w:left w:w="0" w:type="dxa"/>
              <w:bottom w:w="0" w:type="dxa"/>
              <w:right w:w="15" w:type="dxa"/>
            </w:tcMar>
            <w:vAlign w:val="bottom"/>
          </w:tcPr>
          <w:p w14:paraId="0872503A" w14:textId="77777777" w:rsidR="009A5AEC" w:rsidRDefault="00000000">
            <w:pPr>
              <w:pStyle w:val="Normal0"/>
              <w:jc w:val="right"/>
              <w:rPr>
                <w:color w:val="000000"/>
                <w:sz w:val="20"/>
              </w:rPr>
            </w:pPr>
            <w:r>
              <w:rPr>
                <w:color w:val="000000"/>
                <w:sz w:val="20"/>
              </w:rPr>
              <w:t>(596</w:t>
            </w:r>
          </w:p>
        </w:tc>
        <w:tc>
          <w:tcPr>
            <w:tcW w:w="50" w:type="pct"/>
            <w:shd w:val="clear" w:color="auto" w:fill="CFF0FC"/>
            <w:noWrap/>
            <w:tcMar>
              <w:top w:w="15" w:type="dxa"/>
              <w:left w:w="0" w:type="dxa"/>
              <w:bottom w:w="0" w:type="dxa"/>
              <w:right w:w="15" w:type="dxa"/>
            </w:tcMar>
            <w:vAlign w:val="bottom"/>
          </w:tcPr>
          <w:p w14:paraId="247C6856" w14:textId="77777777" w:rsidR="009A5AEC" w:rsidRDefault="00000000">
            <w:pPr>
              <w:pStyle w:val="Normal0"/>
              <w:rPr>
                <w:color w:val="000000"/>
                <w:sz w:val="20"/>
              </w:rPr>
            </w:pPr>
            <w:r>
              <w:rPr>
                <w:color w:val="000000"/>
                <w:sz w:val="20"/>
              </w:rPr>
              <w:t>)</w:t>
            </w:r>
          </w:p>
        </w:tc>
        <w:tc>
          <w:tcPr>
            <w:tcW w:w="72" w:type="pct"/>
            <w:shd w:val="clear" w:color="auto" w:fill="CFF0FC"/>
            <w:tcMar>
              <w:top w:w="15" w:type="dxa"/>
              <w:left w:w="0" w:type="dxa"/>
              <w:bottom w:w="0" w:type="dxa"/>
              <w:right w:w="15" w:type="dxa"/>
            </w:tcMar>
            <w:vAlign w:val="bottom"/>
          </w:tcPr>
          <w:p w14:paraId="53BB659C"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CFF0FC"/>
            <w:noWrap/>
            <w:tcMar>
              <w:top w:w="15" w:type="dxa"/>
              <w:left w:w="0" w:type="dxa"/>
              <w:bottom w:w="0" w:type="dxa"/>
              <w:right w:w="15" w:type="dxa"/>
            </w:tcMar>
            <w:vAlign w:val="bottom"/>
          </w:tcPr>
          <w:p w14:paraId="5735FE9E" w14:textId="77777777" w:rsidR="009A5AEC" w:rsidRDefault="00000000">
            <w:pPr>
              <w:pStyle w:val="Normal0"/>
              <w:rPr>
                <w:color w:val="000000"/>
                <w:sz w:val="20"/>
              </w:rPr>
            </w:pPr>
            <w:r>
              <w:rPr>
                <w:color w:val="000000"/>
                <w:sz w:val="20"/>
              </w:rPr>
              <w:t xml:space="preserve"> </w:t>
            </w:r>
          </w:p>
        </w:tc>
        <w:tc>
          <w:tcPr>
            <w:tcW w:w="528" w:type="pct"/>
            <w:tcBorders>
              <w:bottom w:val="single" w:sz="2" w:space="0" w:color="000000"/>
            </w:tcBorders>
            <w:shd w:val="clear" w:color="auto" w:fill="CFF0FC"/>
            <w:noWrap/>
            <w:tcMar>
              <w:top w:w="15" w:type="dxa"/>
              <w:left w:w="0" w:type="dxa"/>
              <w:bottom w:w="0" w:type="dxa"/>
              <w:right w:w="15" w:type="dxa"/>
            </w:tcMar>
            <w:vAlign w:val="bottom"/>
          </w:tcPr>
          <w:p w14:paraId="4D75D148" w14:textId="77777777" w:rsidR="009A5AEC" w:rsidRDefault="00000000">
            <w:pPr>
              <w:pStyle w:val="Normal0"/>
              <w:jc w:val="right"/>
              <w:rPr>
                <w:color w:val="000000"/>
                <w:sz w:val="20"/>
              </w:rPr>
            </w:pPr>
            <w:r>
              <w:rPr>
                <w:color w:val="000000"/>
                <w:sz w:val="20"/>
              </w:rPr>
              <w:t>(1,632</w:t>
            </w:r>
          </w:p>
        </w:tc>
        <w:tc>
          <w:tcPr>
            <w:tcW w:w="50" w:type="pct"/>
            <w:shd w:val="clear" w:color="auto" w:fill="CFF0FC"/>
            <w:noWrap/>
            <w:tcMar>
              <w:top w:w="15" w:type="dxa"/>
              <w:left w:w="0" w:type="dxa"/>
              <w:bottom w:w="0" w:type="dxa"/>
              <w:right w:w="15" w:type="dxa"/>
            </w:tcMar>
            <w:vAlign w:val="bottom"/>
          </w:tcPr>
          <w:p w14:paraId="3BEAA7D9" w14:textId="77777777" w:rsidR="009A5AEC" w:rsidRDefault="00000000">
            <w:pPr>
              <w:pStyle w:val="Normal0"/>
              <w:rPr>
                <w:color w:val="000000"/>
                <w:sz w:val="20"/>
              </w:rPr>
            </w:pPr>
            <w:r>
              <w:rPr>
                <w:color w:val="000000"/>
                <w:sz w:val="20"/>
              </w:rPr>
              <w:t>)</w:t>
            </w:r>
          </w:p>
        </w:tc>
        <w:tc>
          <w:tcPr>
            <w:tcW w:w="72" w:type="pct"/>
            <w:shd w:val="clear" w:color="auto" w:fill="CFF0FC"/>
            <w:tcMar>
              <w:top w:w="15" w:type="dxa"/>
              <w:left w:w="0" w:type="dxa"/>
              <w:bottom w:w="0" w:type="dxa"/>
              <w:right w:w="15" w:type="dxa"/>
            </w:tcMar>
            <w:vAlign w:val="bottom"/>
          </w:tcPr>
          <w:p w14:paraId="343610DD"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CFF0FC"/>
            <w:noWrap/>
            <w:tcMar>
              <w:top w:w="15" w:type="dxa"/>
              <w:left w:w="0" w:type="dxa"/>
              <w:bottom w:w="0" w:type="dxa"/>
              <w:right w:w="15" w:type="dxa"/>
            </w:tcMar>
            <w:vAlign w:val="bottom"/>
          </w:tcPr>
          <w:p w14:paraId="1931D0BE" w14:textId="77777777" w:rsidR="009A5AEC" w:rsidRDefault="00000000">
            <w:pPr>
              <w:pStyle w:val="Normal0"/>
              <w:rPr>
                <w:color w:val="000000"/>
                <w:sz w:val="20"/>
              </w:rPr>
            </w:pPr>
            <w:r>
              <w:rPr>
                <w:color w:val="000000"/>
                <w:sz w:val="20"/>
              </w:rPr>
              <w:t xml:space="preserve"> </w:t>
            </w:r>
          </w:p>
        </w:tc>
        <w:tc>
          <w:tcPr>
            <w:tcW w:w="528" w:type="pct"/>
            <w:tcBorders>
              <w:bottom w:val="single" w:sz="2" w:space="0" w:color="000000"/>
            </w:tcBorders>
            <w:shd w:val="clear" w:color="auto" w:fill="CFF0FC"/>
            <w:noWrap/>
            <w:tcMar>
              <w:top w:w="15" w:type="dxa"/>
              <w:left w:w="0" w:type="dxa"/>
              <w:bottom w:w="0" w:type="dxa"/>
              <w:right w:w="15" w:type="dxa"/>
            </w:tcMar>
            <w:vAlign w:val="bottom"/>
          </w:tcPr>
          <w:p w14:paraId="2721D66D" w14:textId="77777777" w:rsidR="009A5AEC" w:rsidRDefault="00000000">
            <w:pPr>
              <w:pStyle w:val="Normal0"/>
              <w:jc w:val="right"/>
              <w:rPr>
                <w:color w:val="000000"/>
                <w:sz w:val="20"/>
              </w:rPr>
            </w:pPr>
            <w:r>
              <w:rPr>
                <w:color w:val="000000"/>
                <w:sz w:val="20"/>
              </w:rPr>
              <w:t>(2,002</w:t>
            </w:r>
          </w:p>
        </w:tc>
        <w:tc>
          <w:tcPr>
            <w:tcW w:w="50" w:type="pct"/>
            <w:shd w:val="clear" w:color="auto" w:fill="CFF0FC"/>
            <w:noWrap/>
            <w:tcMar>
              <w:top w:w="15" w:type="dxa"/>
              <w:left w:w="0" w:type="dxa"/>
              <w:bottom w:w="0" w:type="dxa"/>
              <w:right w:w="15" w:type="dxa"/>
            </w:tcMar>
            <w:vAlign w:val="bottom"/>
          </w:tcPr>
          <w:p w14:paraId="582BDF6D" w14:textId="77777777" w:rsidR="009A5AEC" w:rsidRDefault="00000000">
            <w:pPr>
              <w:pStyle w:val="Normal0"/>
              <w:rPr>
                <w:color w:val="000000"/>
                <w:sz w:val="20"/>
              </w:rPr>
            </w:pPr>
            <w:r>
              <w:rPr>
                <w:color w:val="000000"/>
                <w:sz w:val="20"/>
              </w:rPr>
              <w:t>)</w:t>
            </w:r>
          </w:p>
        </w:tc>
        <w:tc>
          <w:tcPr>
            <w:tcW w:w="72" w:type="pct"/>
            <w:shd w:val="clear" w:color="auto" w:fill="CFF0FC"/>
            <w:tcMar>
              <w:top w:w="15" w:type="dxa"/>
              <w:left w:w="0" w:type="dxa"/>
              <w:bottom w:w="0" w:type="dxa"/>
              <w:right w:w="15" w:type="dxa"/>
            </w:tcMar>
            <w:vAlign w:val="bottom"/>
          </w:tcPr>
          <w:p w14:paraId="26272B8C"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CFF0FC"/>
            <w:noWrap/>
            <w:tcMar>
              <w:top w:w="15" w:type="dxa"/>
              <w:left w:w="0" w:type="dxa"/>
              <w:bottom w:w="0" w:type="dxa"/>
              <w:right w:w="15" w:type="dxa"/>
            </w:tcMar>
            <w:vAlign w:val="bottom"/>
          </w:tcPr>
          <w:p w14:paraId="47BE5042" w14:textId="77777777" w:rsidR="009A5AEC" w:rsidRDefault="00000000">
            <w:pPr>
              <w:pStyle w:val="Normal0"/>
              <w:rPr>
                <w:color w:val="000000"/>
                <w:sz w:val="20"/>
              </w:rPr>
            </w:pPr>
            <w:r>
              <w:rPr>
                <w:color w:val="000000"/>
                <w:sz w:val="20"/>
              </w:rPr>
              <w:t xml:space="preserve"> </w:t>
            </w:r>
          </w:p>
        </w:tc>
        <w:tc>
          <w:tcPr>
            <w:tcW w:w="528" w:type="pct"/>
            <w:tcBorders>
              <w:bottom w:val="single" w:sz="2" w:space="0" w:color="000000"/>
            </w:tcBorders>
            <w:shd w:val="clear" w:color="auto" w:fill="CFF0FC"/>
            <w:noWrap/>
            <w:tcMar>
              <w:top w:w="15" w:type="dxa"/>
              <w:left w:w="0" w:type="dxa"/>
              <w:bottom w:w="0" w:type="dxa"/>
              <w:right w:w="15" w:type="dxa"/>
            </w:tcMar>
            <w:vAlign w:val="bottom"/>
          </w:tcPr>
          <w:p w14:paraId="6B19C8DE" w14:textId="77777777" w:rsidR="009A5AEC" w:rsidRDefault="00000000">
            <w:pPr>
              <w:pStyle w:val="Normal0"/>
              <w:jc w:val="right"/>
              <w:rPr>
                <w:color w:val="000000"/>
                <w:sz w:val="20"/>
              </w:rPr>
            </w:pPr>
            <w:r>
              <w:rPr>
                <w:color w:val="000000"/>
                <w:sz w:val="20"/>
              </w:rPr>
              <w:t>(2,377</w:t>
            </w:r>
          </w:p>
        </w:tc>
        <w:tc>
          <w:tcPr>
            <w:tcW w:w="50" w:type="pct"/>
            <w:shd w:val="clear" w:color="auto" w:fill="CFF0FC"/>
            <w:noWrap/>
            <w:tcMar>
              <w:top w:w="15" w:type="dxa"/>
              <w:left w:w="0" w:type="dxa"/>
              <w:bottom w:w="0" w:type="dxa"/>
              <w:right w:w="15" w:type="dxa"/>
            </w:tcMar>
            <w:vAlign w:val="bottom"/>
          </w:tcPr>
          <w:p w14:paraId="573BE522" w14:textId="77777777" w:rsidR="009A5AEC" w:rsidRDefault="00000000">
            <w:pPr>
              <w:pStyle w:val="Normal0"/>
              <w:rPr>
                <w:color w:val="000000"/>
                <w:sz w:val="20"/>
              </w:rPr>
            </w:pPr>
            <w:r>
              <w:rPr>
                <w:color w:val="000000"/>
                <w:sz w:val="20"/>
              </w:rPr>
              <w:t>)</w:t>
            </w:r>
          </w:p>
        </w:tc>
      </w:tr>
      <w:tr w:rsidR="003116D1" w14:paraId="176DC65C" w14:textId="77777777">
        <w:trPr>
          <w:cantSplit/>
          <w:jc w:val="center"/>
        </w:trPr>
        <w:tc>
          <w:tcPr>
            <w:tcW w:w="2195" w:type="pct"/>
            <w:shd w:val="clear" w:color="auto" w:fill="FFFFFF"/>
            <w:tcMar>
              <w:top w:w="15" w:type="dxa"/>
              <w:left w:w="0" w:type="dxa"/>
              <w:bottom w:w="0" w:type="dxa"/>
              <w:right w:w="15" w:type="dxa"/>
            </w:tcMar>
          </w:tcPr>
          <w:p w14:paraId="2C0FDB4D" w14:textId="77777777" w:rsidR="009A5AEC" w:rsidRDefault="00000000">
            <w:pPr>
              <w:pStyle w:val="Normal0"/>
              <w:keepNext/>
              <w:rPr>
                <w:color w:val="000000"/>
                <w:sz w:val="20"/>
              </w:rPr>
            </w:pPr>
            <w:r>
              <w:rPr>
                <w:color w:val="000000"/>
                <w:sz w:val="20"/>
              </w:rPr>
              <w:t>Total operating income (loss)</w:t>
            </w:r>
          </w:p>
        </w:tc>
        <w:tc>
          <w:tcPr>
            <w:tcW w:w="72" w:type="pct"/>
            <w:shd w:val="clear" w:color="auto" w:fill="FFFFFF"/>
            <w:tcMar>
              <w:top w:w="15" w:type="dxa"/>
              <w:left w:w="0" w:type="dxa"/>
              <w:bottom w:w="0" w:type="dxa"/>
              <w:right w:w="15" w:type="dxa"/>
            </w:tcMar>
            <w:vAlign w:val="bottom"/>
          </w:tcPr>
          <w:p w14:paraId="775CE6F8"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single" w:sz="2" w:space="0" w:color="000000"/>
            </w:tcBorders>
            <w:shd w:val="clear" w:color="auto" w:fill="FFFFFF"/>
            <w:noWrap/>
            <w:tcMar>
              <w:top w:w="15" w:type="dxa"/>
              <w:left w:w="0" w:type="dxa"/>
              <w:bottom w:w="0" w:type="dxa"/>
              <w:right w:w="15" w:type="dxa"/>
            </w:tcMar>
            <w:vAlign w:val="bottom"/>
          </w:tcPr>
          <w:p w14:paraId="4215BBAB" w14:textId="77777777" w:rsidR="009A5AEC" w:rsidRDefault="00000000">
            <w:pPr>
              <w:pStyle w:val="Normal0"/>
              <w:rPr>
                <w:color w:val="000000"/>
                <w:sz w:val="20"/>
              </w:rPr>
            </w:pPr>
            <w:r>
              <w:rPr>
                <w:color w:val="000000"/>
                <w:sz w:val="20"/>
              </w:rPr>
              <w:t xml:space="preserve"> </w:t>
            </w:r>
          </w:p>
        </w:tc>
        <w:tc>
          <w:tcPr>
            <w:tcW w:w="528" w:type="pct"/>
            <w:tcBorders>
              <w:top w:val="single" w:sz="2" w:space="0" w:color="000000"/>
              <w:bottom w:val="single" w:sz="2" w:space="0" w:color="000000"/>
            </w:tcBorders>
            <w:shd w:val="clear" w:color="auto" w:fill="FFFFFF"/>
            <w:noWrap/>
            <w:tcMar>
              <w:top w:w="15" w:type="dxa"/>
              <w:left w:w="0" w:type="dxa"/>
              <w:bottom w:w="0" w:type="dxa"/>
              <w:right w:w="15" w:type="dxa"/>
            </w:tcMar>
            <w:vAlign w:val="bottom"/>
          </w:tcPr>
          <w:p w14:paraId="56CD6776" w14:textId="77777777" w:rsidR="009A5AEC" w:rsidRDefault="00000000">
            <w:pPr>
              <w:pStyle w:val="Normal0"/>
              <w:jc w:val="right"/>
              <w:rPr>
                <w:color w:val="000000"/>
                <w:sz w:val="20"/>
              </w:rPr>
            </w:pPr>
            <w:r>
              <w:rPr>
                <w:color w:val="000000"/>
                <w:sz w:val="20"/>
              </w:rPr>
              <w:t>121</w:t>
            </w:r>
          </w:p>
        </w:tc>
        <w:tc>
          <w:tcPr>
            <w:tcW w:w="50" w:type="pct"/>
            <w:shd w:val="clear" w:color="auto" w:fill="FFFFFF"/>
            <w:noWrap/>
            <w:tcMar>
              <w:top w:w="15" w:type="dxa"/>
              <w:left w:w="0" w:type="dxa"/>
              <w:bottom w:w="0" w:type="dxa"/>
              <w:right w:w="15" w:type="dxa"/>
            </w:tcMar>
            <w:vAlign w:val="bottom"/>
          </w:tcPr>
          <w:p w14:paraId="2106F9A1" w14:textId="77777777" w:rsidR="009A5AEC" w:rsidRDefault="00000000">
            <w:pPr>
              <w:pStyle w:val="Normal0"/>
              <w:rPr>
                <w:color w:val="000000"/>
                <w:sz w:val="20"/>
              </w:rPr>
            </w:pPr>
            <w:r>
              <w:rPr>
                <w:color w:val="000000"/>
                <w:sz w:val="20"/>
              </w:rPr>
              <w:t xml:space="preserve"> </w:t>
            </w:r>
          </w:p>
        </w:tc>
        <w:tc>
          <w:tcPr>
            <w:tcW w:w="72" w:type="pct"/>
            <w:shd w:val="clear" w:color="auto" w:fill="FFFFFF"/>
            <w:tcMar>
              <w:top w:w="15" w:type="dxa"/>
              <w:left w:w="0" w:type="dxa"/>
              <w:bottom w:w="0" w:type="dxa"/>
              <w:right w:w="15" w:type="dxa"/>
            </w:tcMar>
            <w:vAlign w:val="bottom"/>
          </w:tcPr>
          <w:p w14:paraId="23A34E36"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single" w:sz="2" w:space="0" w:color="000000"/>
            </w:tcBorders>
            <w:shd w:val="clear" w:color="auto" w:fill="FFFFFF"/>
            <w:noWrap/>
            <w:tcMar>
              <w:top w:w="15" w:type="dxa"/>
              <w:left w:w="0" w:type="dxa"/>
              <w:bottom w:w="0" w:type="dxa"/>
              <w:right w:w="15" w:type="dxa"/>
            </w:tcMar>
            <w:vAlign w:val="bottom"/>
          </w:tcPr>
          <w:p w14:paraId="4AFC3459" w14:textId="77777777" w:rsidR="009A5AEC" w:rsidRDefault="00000000">
            <w:pPr>
              <w:pStyle w:val="Normal0"/>
              <w:rPr>
                <w:color w:val="000000"/>
                <w:sz w:val="20"/>
              </w:rPr>
            </w:pPr>
            <w:r>
              <w:rPr>
                <w:color w:val="000000"/>
                <w:sz w:val="20"/>
              </w:rPr>
              <w:t xml:space="preserve"> </w:t>
            </w:r>
          </w:p>
        </w:tc>
        <w:tc>
          <w:tcPr>
            <w:tcW w:w="528" w:type="pct"/>
            <w:tcBorders>
              <w:top w:val="single" w:sz="2" w:space="0" w:color="000000"/>
              <w:bottom w:val="single" w:sz="2" w:space="0" w:color="000000"/>
            </w:tcBorders>
            <w:shd w:val="clear" w:color="auto" w:fill="FFFFFF"/>
            <w:noWrap/>
            <w:tcMar>
              <w:top w:w="15" w:type="dxa"/>
              <w:left w:w="0" w:type="dxa"/>
              <w:bottom w:w="0" w:type="dxa"/>
              <w:right w:w="15" w:type="dxa"/>
            </w:tcMar>
            <w:vAlign w:val="bottom"/>
          </w:tcPr>
          <w:p w14:paraId="48712627" w14:textId="77777777" w:rsidR="009A5AEC" w:rsidRDefault="00000000">
            <w:pPr>
              <w:pStyle w:val="Normal0"/>
              <w:jc w:val="right"/>
              <w:rPr>
                <w:color w:val="000000"/>
                <w:sz w:val="20"/>
              </w:rPr>
            </w:pPr>
            <w:r>
              <w:rPr>
                <w:color w:val="000000"/>
                <w:sz w:val="20"/>
              </w:rPr>
              <w:t>(746</w:t>
            </w:r>
          </w:p>
        </w:tc>
        <w:tc>
          <w:tcPr>
            <w:tcW w:w="50" w:type="pct"/>
            <w:shd w:val="clear" w:color="auto" w:fill="FFFFFF"/>
            <w:noWrap/>
            <w:tcMar>
              <w:top w:w="15" w:type="dxa"/>
              <w:left w:w="0" w:type="dxa"/>
              <w:bottom w:w="0" w:type="dxa"/>
              <w:right w:w="15" w:type="dxa"/>
            </w:tcMar>
            <w:vAlign w:val="bottom"/>
          </w:tcPr>
          <w:p w14:paraId="37D18E9E" w14:textId="77777777" w:rsidR="009A5AEC" w:rsidRDefault="00000000">
            <w:pPr>
              <w:pStyle w:val="Normal0"/>
              <w:rPr>
                <w:color w:val="000000"/>
                <w:sz w:val="20"/>
              </w:rPr>
            </w:pPr>
            <w:r>
              <w:rPr>
                <w:color w:val="000000"/>
                <w:sz w:val="20"/>
              </w:rPr>
              <w:t>)</w:t>
            </w:r>
          </w:p>
        </w:tc>
        <w:tc>
          <w:tcPr>
            <w:tcW w:w="72" w:type="pct"/>
            <w:shd w:val="clear" w:color="auto" w:fill="FFFFFF"/>
            <w:tcMar>
              <w:top w:w="15" w:type="dxa"/>
              <w:left w:w="0" w:type="dxa"/>
              <w:bottom w:w="0" w:type="dxa"/>
              <w:right w:w="15" w:type="dxa"/>
            </w:tcMar>
            <w:vAlign w:val="bottom"/>
          </w:tcPr>
          <w:p w14:paraId="7D59252D"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single" w:sz="2" w:space="0" w:color="000000"/>
            </w:tcBorders>
            <w:shd w:val="clear" w:color="auto" w:fill="FFFFFF"/>
            <w:noWrap/>
            <w:tcMar>
              <w:top w:w="15" w:type="dxa"/>
              <w:left w:w="0" w:type="dxa"/>
              <w:bottom w:w="0" w:type="dxa"/>
              <w:right w:w="15" w:type="dxa"/>
            </w:tcMar>
            <w:vAlign w:val="bottom"/>
          </w:tcPr>
          <w:p w14:paraId="5FF4311F" w14:textId="77777777" w:rsidR="009A5AEC" w:rsidRDefault="00000000">
            <w:pPr>
              <w:pStyle w:val="Normal0"/>
              <w:rPr>
                <w:color w:val="000000"/>
                <w:sz w:val="20"/>
              </w:rPr>
            </w:pPr>
            <w:r>
              <w:rPr>
                <w:color w:val="000000"/>
                <w:sz w:val="20"/>
              </w:rPr>
              <w:t xml:space="preserve"> </w:t>
            </w:r>
          </w:p>
        </w:tc>
        <w:tc>
          <w:tcPr>
            <w:tcW w:w="528" w:type="pct"/>
            <w:tcBorders>
              <w:top w:val="single" w:sz="2" w:space="0" w:color="000000"/>
              <w:bottom w:val="single" w:sz="2" w:space="0" w:color="000000"/>
            </w:tcBorders>
            <w:shd w:val="clear" w:color="auto" w:fill="FFFFFF"/>
            <w:noWrap/>
            <w:tcMar>
              <w:top w:w="15" w:type="dxa"/>
              <w:left w:w="0" w:type="dxa"/>
              <w:bottom w:w="0" w:type="dxa"/>
              <w:right w:w="15" w:type="dxa"/>
            </w:tcMar>
            <w:vAlign w:val="bottom"/>
          </w:tcPr>
          <w:p w14:paraId="360D632E" w14:textId="77777777" w:rsidR="009A5AEC" w:rsidRDefault="00000000">
            <w:pPr>
              <w:pStyle w:val="Normal0"/>
              <w:jc w:val="right"/>
              <w:rPr>
                <w:color w:val="000000"/>
                <w:sz w:val="20"/>
              </w:rPr>
            </w:pPr>
            <w:r>
              <w:rPr>
                <w:color w:val="000000"/>
                <w:sz w:val="20"/>
              </w:rPr>
              <w:t>466</w:t>
            </w:r>
          </w:p>
        </w:tc>
        <w:tc>
          <w:tcPr>
            <w:tcW w:w="50" w:type="pct"/>
            <w:shd w:val="clear" w:color="auto" w:fill="FFFFFF"/>
            <w:noWrap/>
            <w:tcMar>
              <w:top w:w="15" w:type="dxa"/>
              <w:left w:w="0" w:type="dxa"/>
              <w:bottom w:w="0" w:type="dxa"/>
              <w:right w:w="15" w:type="dxa"/>
            </w:tcMar>
            <w:vAlign w:val="bottom"/>
          </w:tcPr>
          <w:p w14:paraId="3AA2AB49" w14:textId="77777777" w:rsidR="009A5AEC" w:rsidRDefault="00000000">
            <w:pPr>
              <w:pStyle w:val="Normal0"/>
              <w:rPr>
                <w:color w:val="000000"/>
                <w:sz w:val="20"/>
              </w:rPr>
            </w:pPr>
            <w:r>
              <w:rPr>
                <w:color w:val="000000"/>
                <w:sz w:val="20"/>
              </w:rPr>
              <w:t xml:space="preserve"> </w:t>
            </w:r>
          </w:p>
        </w:tc>
        <w:tc>
          <w:tcPr>
            <w:tcW w:w="72" w:type="pct"/>
            <w:shd w:val="clear" w:color="auto" w:fill="FFFFFF"/>
            <w:tcMar>
              <w:top w:w="15" w:type="dxa"/>
              <w:left w:w="0" w:type="dxa"/>
              <w:bottom w:w="0" w:type="dxa"/>
              <w:right w:w="15" w:type="dxa"/>
            </w:tcMar>
            <w:vAlign w:val="bottom"/>
          </w:tcPr>
          <w:p w14:paraId="0D91E59E"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single" w:sz="2" w:space="0" w:color="000000"/>
            </w:tcBorders>
            <w:shd w:val="clear" w:color="auto" w:fill="FFFFFF"/>
            <w:noWrap/>
            <w:tcMar>
              <w:top w:w="15" w:type="dxa"/>
              <w:left w:w="0" w:type="dxa"/>
              <w:bottom w:w="0" w:type="dxa"/>
              <w:right w:w="15" w:type="dxa"/>
            </w:tcMar>
            <w:vAlign w:val="bottom"/>
          </w:tcPr>
          <w:p w14:paraId="31228690" w14:textId="77777777" w:rsidR="009A5AEC" w:rsidRDefault="00000000">
            <w:pPr>
              <w:pStyle w:val="Normal0"/>
              <w:rPr>
                <w:color w:val="000000"/>
                <w:sz w:val="20"/>
              </w:rPr>
            </w:pPr>
            <w:r>
              <w:rPr>
                <w:color w:val="000000"/>
                <w:sz w:val="20"/>
              </w:rPr>
              <w:t xml:space="preserve"> </w:t>
            </w:r>
          </w:p>
        </w:tc>
        <w:tc>
          <w:tcPr>
            <w:tcW w:w="528" w:type="pct"/>
            <w:tcBorders>
              <w:top w:val="single" w:sz="2" w:space="0" w:color="000000"/>
              <w:bottom w:val="single" w:sz="2" w:space="0" w:color="000000"/>
            </w:tcBorders>
            <w:shd w:val="clear" w:color="auto" w:fill="FFFFFF"/>
            <w:noWrap/>
            <w:tcMar>
              <w:top w:w="15" w:type="dxa"/>
              <w:left w:w="0" w:type="dxa"/>
              <w:bottom w:w="0" w:type="dxa"/>
              <w:right w:w="15" w:type="dxa"/>
            </w:tcMar>
            <w:vAlign w:val="bottom"/>
          </w:tcPr>
          <w:p w14:paraId="14910394" w14:textId="77777777" w:rsidR="009A5AEC" w:rsidRDefault="00000000">
            <w:pPr>
              <w:pStyle w:val="Normal0"/>
              <w:jc w:val="right"/>
              <w:rPr>
                <w:color w:val="000000"/>
                <w:sz w:val="20"/>
              </w:rPr>
            </w:pPr>
            <w:r>
              <w:rPr>
                <w:color w:val="000000"/>
                <w:sz w:val="20"/>
              </w:rPr>
              <w:t>(190</w:t>
            </w:r>
          </w:p>
        </w:tc>
        <w:tc>
          <w:tcPr>
            <w:tcW w:w="50" w:type="pct"/>
            <w:shd w:val="clear" w:color="auto" w:fill="FFFFFF"/>
            <w:noWrap/>
            <w:tcMar>
              <w:top w:w="15" w:type="dxa"/>
              <w:left w:w="0" w:type="dxa"/>
              <w:bottom w:w="0" w:type="dxa"/>
              <w:right w:w="15" w:type="dxa"/>
            </w:tcMar>
            <w:vAlign w:val="bottom"/>
          </w:tcPr>
          <w:p w14:paraId="1A430043" w14:textId="77777777" w:rsidR="009A5AEC" w:rsidRDefault="00000000">
            <w:pPr>
              <w:pStyle w:val="Normal0"/>
              <w:rPr>
                <w:color w:val="000000"/>
                <w:sz w:val="20"/>
              </w:rPr>
            </w:pPr>
            <w:r>
              <w:rPr>
                <w:color w:val="000000"/>
                <w:sz w:val="20"/>
              </w:rPr>
              <w:t>)</w:t>
            </w:r>
          </w:p>
        </w:tc>
      </w:tr>
      <w:tr w:rsidR="003116D1" w14:paraId="3E0A7FEC" w14:textId="77777777">
        <w:trPr>
          <w:cantSplit/>
          <w:jc w:val="center"/>
        </w:trPr>
        <w:tc>
          <w:tcPr>
            <w:tcW w:w="2195" w:type="pct"/>
            <w:shd w:val="clear" w:color="auto" w:fill="CFF0FC"/>
            <w:tcMar>
              <w:top w:w="15" w:type="dxa"/>
              <w:left w:w="0" w:type="dxa"/>
              <w:bottom w:w="0" w:type="dxa"/>
              <w:right w:w="15" w:type="dxa"/>
            </w:tcMar>
            <w:vAlign w:val="bottom"/>
          </w:tcPr>
          <w:p w14:paraId="695F7DDA" w14:textId="77777777" w:rsidR="009A5AEC" w:rsidRDefault="00000000">
            <w:pPr>
              <w:pStyle w:val="Normal0"/>
              <w:keepNext/>
              <w:rPr>
                <w:color w:val="000000"/>
                <w:sz w:val="20"/>
              </w:rPr>
            </w:pPr>
            <w:r>
              <w:rPr>
                <w:color w:val="000000"/>
                <w:sz w:val="20"/>
              </w:rPr>
              <w:t>Interest income (expense), net</w:t>
            </w:r>
          </w:p>
        </w:tc>
        <w:tc>
          <w:tcPr>
            <w:tcW w:w="72" w:type="pct"/>
            <w:shd w:val="clear" w:color="auto" w:fill="CFF0FC"/>
            <w:tcMar>
              <w:top w:w="15" w:type="dxa"/>
              <w:left w:w="0" w:type="dxa"/>
              <w:bottom w:w="0" w:type="dxa"/>
              <w:right w:w="15" w:type="dxa"/>
            </w:tcMar>
            <w:vAlign w:val="bottom"/>
          </w:tcPr>
          <w:p w14:paraId="0F6C0A83"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CFF0FC"/>
            <w:noWrap/>
            <w:tcMar>
              <w:top w:w="15" w:type="dxa"/>
              <w:left w:w="0" w:type="dxa"/>
              <w:bottom w:w="0" w:type="dxa"/>
              <w:right w:w="15" w:type="dxa"/>
            </w:tcMar>
            <w:vAlign w:val="bottom"/>
          </w:tcPr>
          <w:p w14:paraId="3EDBEFCC" w14:textId="77777777" w:rsidR="009A5AEC" w:rsidRDefault="00000000">
            <w:pPr>
              <w:pStyle w:val="Normal0"/>
              <w:rPr>
                <w:color w:val="000000"/>
                <w:sz w:val="20"/>
              </w:rPr>
            </w:pPr>
            <w:r>
              <w:rPr>
                <w:color w:val="000000"/>
                <w:sz w:val="20"/>
              </w:rPr>
              <w:t xml:space="preserve"> </w:t>
            </w:r>
          </w:p>
        </w:tc>
        <w:tc>
          <w:tcPr>
            <w:tcW w:w="528" w:type="pct"/>
            <w:tcBorders>
              <w:top w:val="single" w:sz="2" w:space="0" w:color="000000"/>
            </w:tcBorders>
            <w:shd w:val="clear" w:color="auto" w:fill="CFF0FC"/>
            <w:noWrap/>
            <w:tcMar>
              <w:top w:w="15" w:type="dxa"/>
              <w:left w:w="0" w:type="dxa"/>
              <w:bottom w:w="0" w:type="dxa"/>
              <w:right w:w="15" w:type="dxa"/>
            </w:tcMar>
            <w:vAlign w:val="bottom"/>
          </w:tcPr>
          <w:p w14:paraId="168B4565" w14:textId="77777777" w:rsidR="009A5AEC" w:rsidRDefault="00000000">
            <w:pPr>
              <w:pStyle w:val="Normal0"/>
              <w:jc w:val="right"/>
              <w:rPr>
                <w:color w:val="000000"/>
                <w:sz w:val="20"/>
              </w:rPr>
            </w:pPr>
            <w:r>
              <w:rPr>
                <w:color w:val="000000"/>
                <w:sz w:val="20"/>
              </w:rPr>
              <w:t>51</w:t>
            </w:r>
          </w:p>
        </w:tc>
        <w:tc>
          <w:tcPr>
            <w:tcW w:w="50" w:type="pct"/>
            <w:shd w:val="clear" w:color="auto" w:fill="CFF0FC"/>
            <w:noWrap/>
            <w:tcMar>
              <w:top w:w="15" w:type="dxa"/>
              <w:left w:w="0" w:type="dxa"/>
              <w:bottom w:w="0" w:type="dxa"/>
              <w:right w:w="15" w:type="dxa"/>
            </w:tcMar>
            <w:vAlign w:val="bottom"/>
          </w:tcPr>
          <w:p w14:paraId="77F1F6D3" w14:textId="77777777" w:rsidR="009A5AEC" w:rsidRDefault="00000000">
            <w:pPr>
              <w:pStyle w:val="Normal0"/>
              <w:rPr>
                <w:color w:val="000000"/>
                <w:sz w:val="20"/>
              </w:rPr>
            </w:pPr>
            <w:r>
              <w:rPr>
                <w:color w:val="000000"/>
                <w:sz w:val="20"/>
              </w:rPr>
              <w:t xml:space="preserve"> </w:t>
            </w:r>
          </w:p>
        </w:tc>
        <w:tc>
          <w:tcPr>
            <w:tcW w:w="72" w:type="pct"/>
            <w:shd w:val="clear" w:color="auto" w:fill="CFF0FC"/>
            <w:tcMar>
              <w:top w:w="15" w:type="dxa"/>
              <w:left w:w="0" w:type="dxa"/>
              <w:bottom w:w="0" w:type="dxa"/>
              <w:right w:w="15" w:type="dxa"/>
            </w:tcMar>
            <w:vAlign w:val="bottom"/>
          </w:tcPr>
          <w:p w14:paraId="1896F344"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CFF0FC"/>
            <w:noWrap/>
            <w:tcMar>
              <w:top w:w="15" w:type="dxa"/>
              <w:left w:w="0" w:type="dxa"/>
              <w:bottom w:w="0" w:type="dxa"/>
              <w:right w:w="15" w:type="dxa"/>
            </w:tcMar>
            <w:vAlign w:val="bottom"/>
          </w:tcPr>
          <w:p w14:paraId="71FF3FDB" w14:textId="77777777" w:rsidR="009A5AEC" w:rsidRDefault="00000000">
            <w:pPr>
              <w:pStyle w:val="Normal0"/>
              <w:rPr>
                <w:color w:val="000000"/>
                <w:sz w:val="20"/>
              </w:rPr>
            </w:pPr>
            <w:r>
              <w:rPr>
                <w:color w:val="000000"/>
                <w:sz w:val="20"/>
              </w:rPr>
              <w:t xml:space="preserve"> </w:t>
            </w:r>
          </w:p>
        </w:tc>
        <w:tc>
          <w:tcPr>
            <w:tcW w:w="528" w:type="pct"/>
            <w:tcBorders>
              <w:top w:val="single" w:sz="2" w:space="0" w:color="000000"/>
            </w:tcBorders>
            <w:shd w:val="clear" w:color="auto" w:fill="CFF0FC"/>
            <w:noWrap/>
            <w:tcMar>
              <w:top w:w="15" w:type="dxa"/>
              <w:left w:w="0" w:type="dxa"/>
              <w:bottom w:w="0" w:type="dxa"/>
              <w:right w:w="15" w:type="dxa"/>
            </w:tcMar>
            <w:vAlign w:val="bottom"/>
          </w:tcPr>
          <w:p w14:paraId="6841B1B0" w14:textId="77777777" w:rsidR="009A5AEC" w:rsidRDefault="00000000">
            <w:pPr>
              <w:pStyle w:val="Normal0"/>
              <w:jc w:val="right"/>
              <w:rPr>
                <w:color w:val="000000"/>
                <w:sz w:val="20"/>
              </w:rPr>
            </w:pPr>
            <w:r>
              <w:rPr>
                <w:color w:val="000000"/>
                <w:sz w:val="20"/>
              </w:rPr>
              <w:t>(3</w:t>
            </w:r>
          </w:p>
        </w:tc>
        <w:tc>
          <w:tcPr>
            <w:tcW w:w="50" w:type="pct"/>
            <w:shd w:val="clear" w:color="auto" w:fill="CFF0FC"/>
            <w:noWrap/>
            <w:tcMar>
              <w:top w:w="15" w:type="dxa"/>
              <w:left w:w="0" w:type="dxa"/>
              <w:bottom w:w="0" w:type="dxa"/>
              <w:right w:w="15" w:type="dxa"/>
            </w:tcMar>
            <w:vAlign w:val="bottom"/>
          </w:tcPr>
          <w:p w14:paraId="3B4A93F7" w14:textId="77777777" w:rsidR="009A5AEC" w:rsidRDefault="00000000">
            <w:pPr>
              <w:pStyle w:val="Normal0"/>
              <w:rPr>
                <w:color w:val="000000"/>
                <w:sz w:val="20"/>
              </w:rPr>
            </w:pPr>
            <w:r>
              <w:rPr>
                <w:color w:val="000000"/>
                <w:sz w:val="20"/>
              </w:rPr>
              <w:t>)</w:t>
            </w:r>
          </w:p>
        </w:tc>
        <w:tc>
          <w:tcPr>
            <w:tcW w:w="72" w:type="pct"/>
            <w:shd w:val="clear" w:color="auto" w:fill="CFF0FC"/>
            <w:tcMar>
              <w:top w:w="15" w:type="dxa"/>
              <w:left w:w="0" w:type="dxa"/>
              <w:bottom w:w="0" w:type="dxa"/>
              <w:right w:w="15" w:type="dxa"/>
            </w:tcMar>
            <w:vAlign w:val="bottom"/>
          </w:tcPr>
          <w:p w14:paraId="371B3B34"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CFF0FC"/>
            <w:noWrap/>
            <w:tcMar>
              <w:top w:w="15" w:type="dxa"/>
              <w:left w:w="0" w:type="dxa"/>
              <w:bottom w:w="0" w:type="dxa"/>
              <w:right w:w="15" w:type="dxa"/>
            </w:tcMar>
            <w:vAlign w:val="bottom"/>
          </w:tcPr>
          <w:p w14:paraId="2ABB16E1" w14:textId="77777777" w:rsidR="009A5AEC" w:rsidRDefault="00000000">
            <w:pPr>
              <w:pStyle w:val="Normal0"/>
              <w:rPr>
                <w:color w:val="000000"/>
                <w:sz w:val="20"/>
              </w:rPr>
            </w:pPr>
            <w:r>
              <w:rPr>
                <w:color w:val="000000"/>
                <w:sz w:val="20"/>
              </w:rPr>
              <w:t xml:space="preserve"> </w:t>
            </w:r>
          </w:p>
        </w:tc>
        <w:tc>
          <w:tcPr>
            <w:tcW w:w="528" w:type="pct"/>
            <w:tcBorders>
              <w:top w:val="single" w:sz="2" w:space="0" w:color="000000"/>
            </w:tcBorders>
            <w:shd w:val="clear" w:color="auto" w:fill="CFF0FC"/>
            <w:noWrap/>
            <w:tcMar>
              <w:top w:w="15" w:type="dxa"/>
              <w:left w:w="0" w:type="dxa"/>
              <w:bottom w:w="0" w:type="dxa"/>
              <w:right w:w="15" w:type="dxa"/>
            </w:tcMar>
            <w:vAlign w:val="bottom"/>
          </w:tcPr>
          <w:p w14:paraId="6669792C" w14:textId="77777777" w:rsidR="009A5AEC" w:rsidRDefault="00000000">
            <w:pPr>
              <w:pStyle w:val="Normal0"/>
              <w:jc w:val="right"/>
              <w:rPr>
                <w:color w:val="000000"/>
                <w:sz w:val="20"/>
              </w:rPr>
            </w:pPr>
            <w:r>
              <w:rPr>
                <w:color w:val="000000"/>
                <w:sz w:val="20"/>
              </w:rPr>
              <w:t>51</w:t>
            </w:r>
          </w:p>
        </w:tc>
        <w:tc>
          <w:tcPr>
            <w:tcW w:w="50" w:type="pct"/>
            <w:shd w:val="clear" w:color="auto" w:fill="CFF0FC"/>
            <w:noWrap/>
            <w:tcMar>
              <w:top w:w="15" w:type="dxa"/>
              <w:left w:w="0" w:type="dxa"/>
              <w:bottom w:w="0" w:type="dxa"/>
              <w:right w:w="15" w:type="dxa"/>
            </w:tcMar>
            <w:vAlign w:val="bottom"/>
          </w:tcPr>
          <w:p w14:paraId="775A791A" w14:textId="77777777" w:rsidR="009A5AEC" w:rsidRDefault="00000000">
            <w:pPr>
              <w:pStyle w:val="Normal0"/>
              <w:rPr>
                <w:color w:val="000000"/>
                <w:sz w:val="20"/>
              </w:rPr>
            </w:pPr>
            <w:r>
              <w:rPr>
                <w:color w:val="000000"/>
                <w:sz w:val="20"/>
              </w:rPr>
              <w:t xml:space="preserve"> </w:t>
            </w:r>
          </w:p>
        </w:tc>
        <w:tc>
          <w:tcPr>
            <w:tcW w:w="72" w:type="pct"/>
            <w:shd w:val="clear" w:color="auto" w:fill="CFF0FC"/>
            <w:tcMar>
              <w:top w:w="15" w:type="dxa"/>
              <w:left w:w="0" w:type="dxa"/>
              <w:bottom w:w="0" w:type="dxa"/>
              <w:right w:w="15" w:type="dxa"/>
            </w:tcMar>
            <w:vAlign w:val="bottom"/>
          </w:tcPr>
          <w:p w14:paraId="64E4DEC4"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CFF0FC"/>
            <w:noWrap/>
            <w:tcMar>
              <w:top w:w="15" w:type="dxa"/>
              <w:left w:w="0" w:type="dxa"/>
              <w:bottom w:w="0" w:type="dxa"/>
              <w:right w:w="15" w:type="dxa"/>
            </w:tcMar>
            <w:vAlign w:val="bottom"/>
          </w:tcPr>
          <w:p w14:paraId="3B42FD04" w14:textId="77777777" w:rsidR="009A5AEC" w:rsidRDefault="00000000">
            <w:pPr>
              <w:pStyle w:val="Normal0"/>
              <w:rPr>
                <w:color w:val="000000"/>
                <w:sz w:val="20"/>
              </w:rPr>
            </w:pPr>
            <w:r>
              <w:rPr>
                <w:color w:val="000000"/>
                <w:sz w:val="20"/>
              </w:rPr>
              <w:t xml:space="preserve"> </w:t>
            </w:r>
          </w:p>
        </w:tc>
        <w:tc>
          <w:tcPr>
            <w:tcW w:w="528" w:type="pct"/>
            <w:tcBorders>
              <w:top w:val="single" w:sz="2" w:space="0" w:color="000000"/>
            </w:tcBorders>
            <w:shd w:val="clear" w:color="auto" w:fill="CFF0FC"/>
            <w:noWrap/>
            <w:tcMar>
              <w:top w:w="15" w:type="dxa"/>
              <w:left w:w="0" w:type="dxa"/>
              <w:bottom w:w="0" w:type="dxa"/>
              <w:right w:w="15" w:type="dxa"/>
            </w:tcMar>
            <w:vAlign w:val="bottom"/>
          </w:tcPr>
          <w:p w14:paraId="13F146F1" w14:textId="77777777" w:rsidR="009A5AEC" w:rsidRDefault="00000000">
            <w:pPr>
              <w:pStyle w:val="Normal0"/>
              <w:jc w:val="right"/>
              <w:rPr>
                <w:color w:val="000000"/>
                <w:sz w:val="20"/>
              </w:rPr>
            </w:pPr>
            <w:r>
              <w:rPr>
                <w:color w:val="000000"/>
                <w:sz w:val="20"/>
              </w:rPr>
              <w:t>(9</w:t>
            </w:r>
          </w:p>
        </w:tc>
        <w:tc>
          <w:tcPr>
            <w:tcW w:w="50" w:type="pct"/>
            <w:shd w:val="clear" w:color="auto" w:fill="CFF0FC"/>
            <w:noWrap/>
            <w:tcMar>
              <w:top w:w="15" w:type="dxa"/>
              <w:left w:w="0" w:type="dxa"/>
              <w:bottom w:w="0" w:type="dxa"/>
              <w:right w:w="15" w:type="dxa"/>
            </w:tcMar>
            <w:vAlign w:val="bottom"/>
          </w:tcPr>
          <w:p w14:paraId="2A3B3FC7" w14:textId="77777777" w:rsidR="009A5AEC" w:rsidRDefault="00000000">
            <w:pPr>
              <w:pStyle w:val="Normal0"/>
              <w:rPr>
                <w:color w:val="000000"/>
                <w:sz w:val="20"/>
              </w:rPr>
            </w:pPr>
            <w:r>
              <w:rPr>
                <w:color w:val="000000"/>
                <w:sz w:val="20"/>
              </w:rPr>
              <w:t>)</w:t>
            </w:r>
          </w:p>
        </w:tc>
      </w:tr>
      <w:tr w:rsidR="003116D1" w14:paraId="2C63E2F9" w14:textId="77777777">
        <w:trPr>
          <w:cantSplit/>
          <w:jc w:val="center"/>
        </w:trPr>
        <w:tc>
          <w:tcPr>
            <w:tcW w:w="2195" w:type="pct"/>
            <w:shd w:val="clear" w:color="auto" w:fill="FFFFFF"/>
            <w:tcMar>
              <w:top w:w="15" w:type="dxa"/>
              <w:left w:w="0" w:type="dxa"/>
              <w:bottom w:w="0" w:type="dxa"/>
              <w:right w:w="15" w:type="dxa"/>
            </w:tcMar>
            <w:vAlign w:val="bottom"/>
          </w:tcPr>
          <w:p w14:paraId="33DA5747" w14:textId="77777777" w:rsidR="009A5AEC" w:rsidRDefault="00000000">
            <w:pPr>
              <w:pStyle w:val="Normal0"/>
              <w:keepNext/>
              <w:rPr>
                <w:color w:val="000000"/>
                <w:sz w:val="20"/>
              </w:rPr>
            </w:pPr>
            <w:r>
              <w:rPr>
                <w:color w:val="000000"/>
                <w:sz w:val="20"/>
              </w:rPr>
              <w:t>Gain on equity investment in unconsolidated subsidiary</w:t>
            </w:r>
          </w:p>
        </w:tc>
        <w:tc>
          <w:tcPr>
            <w:tcW w:w="72" w:type="pct"/>
            <w:shd w:val="clear" w:color="auto" w:fill="FFFFFF"/>
            <w:tcMar>
              <w:top w:w="15" w:type="dxa"/>
              <w:left w:w="0" w:type="dxa"/>
              <w:bottom w:w="0" w:type="dxa"/>
              <w:right w:w="15" w:type="dxa"/>
            </w:tcMar>
            <w:vAlign w:val="bottom"/>
          </w:tcPr>
          <w:p w14:paraId="5A5310C3"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3FB6FE1A" w14:textId="77777777" w:rsidR="009A5AEC" w:rsidRDefault="00000000">
            <w:pPr>
              <w:pStyle w:val="Normal0"/>
              <w:rPr>
                <w:color w:val="000000"/>
                <w:sz w:val="20"/>
              </w:rPr>
            </w:pPr>
            <w:r>
              <w:rPr>
                <w:color w:val="000000"/>
                <w:sz w:val="20"/>
              </w:rPr>
              <w:t xml:space="preserve"> </w:t>
            </w:r>
          </w:p>
        </w:tc>
        <w:tc>
          <w:tcPr>
            <w:tcW w:w="528" w:type="pct"/>
            <w:shd w:val="clear" w:color="auto" w:fill="FFFFFF"/>
            <w:noWrap/>
            <w:tcMar>
              <w:top w:w="15" w:type="dxa"/>
              <w:left w:w="0" w:type="dxa"/>
              <w:bottom w:w="0" w:type="dxa"/>
              <w:right w:w="15" w:type="dxa"/>
            </w:tcMar>
            <w:vAlign w:val="bottom"/>
          </w:tcPr>
          <w:p w14:paraId="6A3F0F8C" w14:textId="77777777" w:rsidR="009A5AEC" w:rsidRDefault="00000000">
            <w:pPr>
              <w:pStyle w:val="Normal0"/>
              <w:jc w:val="right"/>
              <w:rPr>
                <w:color w:val="000000"/>
                <w:sz w:val="20"/>
              </w:rPr>
            </w:pPr>
            <w:r>
              <w:rPr>
                <w:color w:val="000000"/>
                <w:sz w:val="20"/>
              </w:rPr>
              <w:t>—</w:t>
            </w:r>
          </w:p>
        </w:tc>
        <w:tc>
          <w:tcPr>
            <w:tcW w:w="50" w:type="pct"/>
            <w:shd w:val="clear" w:color="auto" w:fill="FFFFFF"/>
            <w:noWrap/>
            <w:tcMar>
              <w:top w:w="15" w:type="dxa"/>
              <w:left w:w="0" w:type="dxa"/>
              <w:bottom w:w="0" w:type="dxa"/>
              <w:right w:w="15" w:type="dxa"/>
            </w:tcMar>
            <w:vAlign w:val="bottom"/>
          </w:tcPr>
          <w:p w14:paraId="1044617A" w14:textId="77777777" w:rsidR="009A5AEC" w:rsidRDefault="00000000">
            <w:pPr>
              <w:pStyle w:val="Normal0"/>
              <w:rPr>
                <w:color w:val="000000"/>
                <w:sz w:val="20"/>
              </w:rPr>
            </w:pPr>
            <w:r>
              <w:rPr>
                <w:color w:val="000000"/>
                <w:sz w:val="20"/>
              </w:rPr>
              <w:t xml:space="preserve"> </w:t>
            </w:r>
          </w:p>
        </w:tc>
        <w:tc>
          <w:tcPr>
            <w:tcW w:w="72" w:type="pct"/>
            <w:shd w:val="clear" w:color="auto" w:fill="FFFFFF"/>
            <w:tcMar>
              <w:top w:w="15" w:type="dxa"/>
              <w:left w:w="0" w:type="dxa"/>
              <w:bottom w:w="0" w:type="dxa"/>
              <w:right w:w="15" w:type="dxa"/>
            </w:tcMar>
            <w:vAlign w:val="bottom"/>
          </w:tcPr>
          <w:p w14:paraId="2A5C4336"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308B49CE" w14:textId="77777777" w:rsidR="009A5AEC" w:rsidRDefault="00000000">
            <w:pPr>
              <w:pStyle w:val="Normal0"/>
              <w:rPr>
                <w:color w:val="000000"/>
                <w:sz w:val="20"/>
              </w:rPr>
            </w:pPr>
            <w:r>
              <w:rPr>
                <w:color w:val="000000"/>
                <w:sz w:val="20"/>
              </w:rPr>
              <w:t xml:space="preserve"> </w:t>
            </w:r>
          </w:p>
        </w:tc>
        <w:tc>
          <w:tcPr>
            <w:tcW w:w="528" w:type="pct"/>
            <w:shd w:val="clear" w:color="auto" w:fill="FFFFFF"/>
            <w:noWrap/>
            <w:tcMar>
              <w:top w:w="15" w:type="dxa"/>
              <w:left w:w="0" w:type="dxa"/>
              <w:bottom w:w="0" w:type="dxa"/>
              <w:right w:w="15" w:type="dxa"/>
            </w:tcMar>
            <w:vAlign w:val="bottom"/>
          </w:tcPr>
          <w:p w14:paraId="6A9B3FD8" w14:textId="77777777" w:rsidR="009A5AEC" w:rsidRDefault="00000000">
            <w:pPr>
              <w:pStyle w:val="Normal0"/>
              <w:jc w:val="right"/>
              <w:rPr>
                <w:color w:val="000000"/>
                <w:sz w:val="20"/>
              </w:rPr>
            </w:pPr>
            <w:r>
              <w:rPr>
                <w:color w:val="000000"/>
                <w:sz w:val="20"/>
              </w:rPr>
              <w:t>60,205</w:t>
            </w:r>
          </w:p>
        </w:tc>
        <w:tc>
          <w:tcPr>
            <w:tcW w:w="50" w:type="pct"/>
            <w:shd w:val="clear" w:color="auto" w:fill="FFFFFF"/>
            <w:noWrap/>
            <w:tcMar>
              <w:top w:w="15" w:type="dxa"/>
              <w:left w:w="0" w:type="dxa"/>
              <w:bottom w:w="0" w:type="dxa"/>
              <w:right w:w="15" w:type="dxa"/>
            </w:tcMar>
            <w:vAlign w:val="bottom"/>
          </w:tcPr>
          <w:p w14:paraId="60ED43C4" w14:textId="77777777" w:rsidR="009A5AEC" w:rsidRDefault="00000000">
            <w:pPr>
              <w:pStyle w:val="Normal0"/>
              <w:rPr>
                <w:color w:val="000000"/>
                <w:sz w:val="20"/>
              </w:rPr>
            </w:pPr>
            <w:r>
              <w:rPr>
                <w:color w:val="000000"/>
                <w:sz w:val="20"/>
              </w:rPr>
              <w:t xml:space="preserve"> </w:t>
            </w:r>
          </w:p>
        </w:tc>
        <w:tc>
          <w:tcPr>
            <w:tcW w:w="72" w:type="pct"/>
            <w:shd w:val="clear" w:color="auto" w:fill="FFFFFF"/>
            <w:tcMar>
              <w:top w:w="15" w:type="dxa"/>
              <w:left w:w="0" w:type="dxa"/>
              <w:bottom w:w="0" w:type="dxa"/>
              <w:right w:w="15" w:type="dxa"/>
            </w:tcMar>
            <w:vAlign w:val="bottom"/>
          </w:tcPr>
          <w:p w14:paraId="094DB18A"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04A0ADDD" w14:textId="77777777" w:rsidR="009A5AEC" w:rsidRDefault="00000000">
            <w:pPr>
              <w:pStyle w:val="Normal0"/>
              <w:rPr>
                <w:color w:val="000000"/>
                <w:sz w:val="20"/>
              </w:rPr>
            </w:pPr>
            <w:r>
              <w:rPr>
                <w:color w:val="000000"/>
                <w:sz w:val="20"/>
              </w:rPr>
              <w:t xml:space="preserve"> </w:t>
            </w:r>
          </w:p>
        </w:tc>
        <w:tc>
          <w:tcPr>
            <w:tcW w:w="528" w:type="pct"/>
            <w:shd w:val="clear" w:color="auto" w:fill="FFFFFF"/>
            <w:noWrap/>
            <w:tcMar>
              <w:top w:w="15" w:type="dxa"/>
              <w:left w:w="0" w:type="dxa"/>
              <w:bottom w:w="0" w:type="dxa"/>
              <w:right w:w="15" w:type="dxa"/>
            </w:tcMar>
            <w:vAlign w:val="bottom"/>
          </w:tcPr>
          <w:p w14:paraId="233AA9A4" w14:textId="77777777" w:rsidR="009A5AEC" w:rsidRDefault="00000000">
            <w:pPr>
              <w:pStyle w:val="Normal0"/>
              <w:jc w:val="right"/>
              <w:rPr>
                <w:color w:val="000000"/>
                <w:sz w:val="20"/>
              </w:rPr>
            </w:pPr>
            <w:r>
              <w:rPr>
                <w:color w:val="000000"/>
                <w:sz w:val="20"/>
              </w:rPr>
              <w:t>—</w:t>
            </w:r>
          </w:p>
        </w:tc>
        <w:tc>
          <w:tcPr>
            <w:tcW w:w="50" w:type="pct"/>
            <w:shd w:val="clear" w:color="auto" w:fill="FFFFFF"/>
            <w:noWrap/>
            <w:tcMar>
              <w:top w:w="15" w:type="dxa"/>
              <w:left w:w="0" w:type="dxa"/>
              <w:bottom w:w="0" w:type="dxa"/>
              <w:right w:w="15" w:type="dxa"/>
            </w:tcMar>
            <w:vAlign w:val="bottom"/>
          </w:tcPr>
          <w:p w14:paraId="1C8AAE74" w14:textId="77777777" w:rsidR="009A5AEC" w:rsidRDefault="00000000">
            <w:pPr>
              <w:pStyle w:val="Normal0"/>
              <w:rPr>
                <w:color w:val="000000"/>
                <w:sz w:val="20"/>
              </w:rPr>
            </w:pPr>
            <w:r>
              <w:rPr>
                <w:color w:val="000000"/>
                <w:sz w:val="20"/>
              </w:rPr>
              <w:t xml:space="preserve"> </w:t>
            </w:r>
          </w:p>
        </w:tc>
        <w:tc>
          <w:tcPr>
            <w:tcW w:w="72" w:type="pct"/>
            <w:shd w:val="clear" w:color="auto" w:fill="FFFFFF"/>
            <w:tcMar>
              <w:top w:w="15" w:type="dxa"/>
              <w:left w:w="0" w:type="dxa"/>
              <w:bottom w:w="0" w:type="dxa"/>
              <w:right w:w="15" w:type="dxa"/>
            </w:tcMar>
            <w:vAlign w:val="bottom"/>
          </w:tcPr>
          <w:p w14:paraId="0F53629F"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0CFB365F" w14:textId="77777777" w:rsidR="009A5AEC" w:rsidRDefault="00000000">
            <w:pPr>
              <w:pStyle w:val="Normal0"/>
              <w:rPr>
                <w:color w:val="000000"/>
                <w:sz w:val="20"/>
              </w:rPr>
            </w:pPr>
            <w:r>
              <w:rPr>
                <w:color w:val="000000"/>
                <w:sz w:val="20"/>
              </w:rPr>
              <w:t xml:space="preserve"> </w:t>
            </w:r>
          </w:p>
        </w:tc>
        <w:tc>
          <w:tcPr>
            <w:tcW w:w="528" w:type="pct"/>
            <w:shd w:val="clear" w:color="auto" w:fill="FFFFFF"/>
            <w:noWrap/>
            <w:tcMar>
              <w:top w:w="15" w:type="dxa"/>
              <w:left w:w="0" w:type="dxa"/>
              <w:bottom w:w="0" w:type="dxa"/>
              <w:right w:w="15" w:type="dxa"/>
            </w:tcMar>
            <w:vAlign w:val="bottom"/>
          </w:tcPr>
          <w:p w14:paraId="1C618E5D" w14:textId="77777777" w:rsidR="009A5AEC" w:rsidRDefault="00000000">
            <w:pPr>
              <w:pStyle w:val="Normal0"/>
              <w:jc w:val="right"/>
              <w:rPr>
                <w:color w:val="000000"/>
                <w:sz w:val="20"/>
              </w:rPr>
            </w:pPr>
            <w:r>
              <w:rPr>
                <w:color w:val="000000"/>
                <w:sz w:val="20"/>
              </w:rPr>
              <w:t>59,453</w:t>
            </w:r>
          </w:p>
        </w:tc>
        <w:tc>
          <w:tcPr>
            <w:tcW w:w="50" w:type="pct"/>
            <w:shd w:val="clear" w:color="auto" w:fill="FFFFFF"/>
            <w:noWrap/>
            <w:tcMar>
              <w:top w:w="15" w:type="dxa"/>
              <w:left w:w="0" w:type="dxa"/>
              <w:bottom w:w="0" w:type="dxa"/>
              <w:right w:w="15" w:type="dxa"/>
            </w:tcMar>
            <w:vAlign w:val="bottom"/>
          </w:tcPr>
          <w:p w14:paraId="659F53EF" w14:textId="77777777" w:rsidR="009A5AEC" w:rsidRDefault="00000000">
            <w:pPr>
              <w:pStyle w:val="Normal0"/>
              <w:rPr>
                <w:color w:val="000000"/>
                <w:sz w:val="20"/>
              </w:rPr>
            </w:pPr>
            <w:r>
              <w:rPr>
                <w:color w:val="000000"/>
                <w:sz w:val="20"/>
              </w:rPr>
              <w:t xml:space="preserve"> </w:t>
            </w:r>
          </w:p>
        </w:tc>
      </w:tr>
      <w:tr w:rsidR="003116D1" w14:paraId="5DC5FD7F" w14:textId="77777777">
        <w:trPr>
          <w:cantSplit/>
          <w:jc w:val="center"/>
        </w:trPr>
        <w:tc>
          <w:tcPr>
            <w:tcW w:w="2195" w:type="pct"/>
            <w:shd w:val="clear" w:color="auto" w:fill="CFF0FC"/>
            <w:tcMar>
              <w:top w:w="15" w:type="dxa"/>
              <w:left w:w="0" w:type="dxa"/>
              <w:bottom w:w="0" w:type="dxa"/>
              <w:right w:w="15" w:type="dxa"/>
            </w:tcMar>
            <w:vAlign w:val="bottom"/>
          </w:tcPr>
          <w:p w14:paraId="0F073A8F" w14:textId="77777777" w:rsidR="009A5AEC" w:rsidRDefault="00000000">
            <w:pPr>
              <w:pStyle w:val="Normal0"/>
              <w:keepNext/>
              <w:rPr>
                <w:color w:val="000000"/>
                <w:sz w:val="20"/>
              </w:rPr>
            </w:pPr>
            <w:r>
              <w:rPr>
                <w:color w:val="000000"/>
                <w:sz w:val="20"/>
              </w:rPr>
              <w:t>Investment loss</w:t>
            </w:r>
          </w:p>
        </w:tc>
        <w:tc>
          <w:tcPr>
            <w:tcW w:w="72" w:type="pct"/>
            <w:shd w:val="clear" w:color="auto" w:fill="CFF0FC"/>
            <w:tcMar>
              <w:top w:w="15" w:type="dxa"/>
              <w:left w:w="0" w:type="dxa"/>
              <w:bottom w:w="0" w:type="dxa"/>
              <w:right w:w="15" w:type="dxa"/>
            </w:tcMar>
            <w:vAlign w:val="bottom"/>
          </w:tcPr>
          <w:p w14:paraId="235E3A18" w14:textId="77777777" w:rsidR="009A5AEC" w:rsidRDefault="00000000">
            <w:pPr>
              <w:pStyle w:val="Normal0"/>
              <w:rPr>
                <w:color w:val="000000"/>
                <w:sz w:val="20"/>
              </w:rPr>
            </w:pPr>
            <w:r>
              <w:rPr>
                <w:color w:val="000000"/>
                <w:sz w:val="20"/>
              </w:rPr>
              <w:t xml:space="preserve"> </w:t>
            </w:r>
          </w:p>
        </w:tc>
        <w:tc>
          <w:tcPr>
            <w:tcW w:w="50" w:type="pct"/>
            <w:shd w:val="clear" w:color="auto" w:fill="CFF0FC"/>
            <w:noWrap/>
            <w:tcMar>
              <w:top w:w="15" w:type="dxa"/>
              <w:left w:w="0" w:type="dxa"/>
              <w:bottom w:w="0" w:type="dxa"/>
              <w:right w:w="15" w:type="dxa"/>
            </w:tcMar>
            <w:vAlign w:val="bottom"/>
          </w:tcPr>
          <w:p w14:paraId="70E782C2" w14:textId="77777777" w:rsidR="009A5AEC" w:rsidRDefault="00000000">
            <w:pPr>
              <w:pStyle w:val="Normal0"/>
              <w:rPr>
                <w:color w:val="000000"/>
                <w:sz w:val="20"/>
              </w:rPr>
            </w:pPr>
            <w:r>
              <w:rPr>
                <w:color w:val="000000"/>
                <w:sz w:val="20"/>
              </w:rPr>
              <w:t xml:space="preserve"> </w:t>
            </w:r>
          </w:p>
        </w:tc>
        <w:tc>
          <w:tcPr>
            <w:tcW w:w="528" w:type="pct"/>
            <w:shd w:val="clear" w:color="auto" w:fill="CFF0FC"/>
            <w:noWrap/>
            <w:tcMar>
              <w:top w:w="15" w:type="dxa"/>
              <w:left w:w="0" w:type="dxa"/>
              <w:bottom w:w="0" w:type="dxa"/>
              <w:right w:w="15" w:type="dxa"/>
            </w:tcMar>
            <w:vAlign w:val="bottom"/>
          </w:tcPr>
          <w:p w14:paraId="7C9036B9" w14:textId="77777777" w:rsidR="009A5AEC" w:rsidRDefault="00000000">
            <w:pPr>
              <w:pStyle w:val="Normal0"/>
              <w:jc w:val="right"/>
              <w:rPr>
                <w:color w:val="000000"/>
                <w:sz w:val="20"/>
              </w:rPr>
            </w:pPr>
            <w:r>
              <w:rPr>
                <w:color w:val="000000"/>
                <w:sz w:val="20"/>
              </w:rPr>
              <w:t>(2,121</w:t>
            </w:r>
          </w:p>
        </w:tc>
        <w:tc>
          <w:tcPr>
            <w:tcW w:w="50" w:type="pct"/>
            <w:shd w:val="clear" w:color="auto" w:fill="CFF0FC"/>
            <w:noWrap/>
            <w:tcMar>
              <w:top w:w="15" w:type="dxa"/>
              <w:left w:w="0" w:type="dxa"/>
              <w:bottom w:w="0" w:type="dxa"/>
              <w:right w:w="15" w:type="dxa"/>
            </w:tcMar>
            <w:vAlign w:val="bottom"/>
          </w:tcPr>
          <w:p w14:paraId="439046ED" w14:textId="77777777" w:rsidR="009A5AEC" w:rsidRDefault="00000000">
            <w:pPr>
              <w:pStyle w:val="Normal0"/>
              <w:rPr>
                <w:color w:val="000000"/>
                <w:sz w:val="20"/>
              </w:rPr>
            </w:pPr>
            <w:r>
              <w:rPr>
                <w:color w:val="000000"/>
                <w:sz w:val="20"/>
              </w:rPr>
              <w:t>)</w:t>
            </w:r>
          </w:p>
        </w:tc>
        <w:tc>
          <w:tcPr>
            <w:tcW w:w="72" w:type="pct"/>
            <w:shd w:val="clear" w:color="auto" w:fill="CFF0FC"/>
            <w:tcMar>
              <w:top w:w="15" w:type="dxa"/>
              <w:left w:w="0" w:type="dxa"/>
              <w:bottom w:w="0" w:type="dxa"/>
              <w:right w:w="15" w:type="dxa"/>
            </w:tcMar>
            <w:vAlign w:val="bottom"/>
          </w:tcPr>
          <w:p w14:paraId="10FDC559" w14:textId="77777777" w:rsidR="009A5AEC" w:rsidRDefault="00000000">
            <w:pPr>
              <w:pStyle w:val="Normal0"/>
              <w:rPr>
                <w:color w:val="000000"/>
                <w:sz w:val="20"/>
              </w:rPr>
            </w:pPr>
            <w:r>
              <w:rPr>
                <w:color w:val="000000"/>
                <w:sz w:val="20"/>
              </w:rPr>
              <w:t xml:space="preserve"> </w:t>
            </w:r>
          </w:p>
        </w:tc>
        <w:tc>
          <w:tcPr>
            <w:tcW w:w="50" w:type="pct"/>
            <w:shd w:val="clear" w:color="auto" w:fill="CFF0FC"/>
            <w:noWrap/>
            <w:tcMar>
              <w:top w:w="15" w:type="dxa"/>
              <w:left w:w="0" w:type="dxa"/>
              <w:bottom w:w="0" w:type="dxa"/>
              <w:right w:w="15" w:type="dxa"/>
            </w:tcMar>
            <w:vAlign w:val="bottom"/>
          </w:tcPr>
          <w:p w14:paraId="7288933D" w14:textId="77777777" w:rsidR="009A5AEC" w:rsidRDefault="00000000">
            <w:pPr>
              <w:pStyle w:val="Normal0"/>
              <w:rPr>
                <w:color w:val="000000"/>
                <w:sz w:val="20"/>
              </w:rPr>
            </w:pPr>
            <w:r>
              <w:rPr>
                <w:color w:val="000000"/>
                <w:sz w:val="20"/>
              </w:rPr>
              <w:t xml:space="preserve"> </w:t>
            </w:r>
          </w:p>
        </w:tc>
        <w:tc>
          <w:tcPr>
            <w:tcW w:w="528" w:type="pct"/>
            <w:shd w:val="clear" w:color="auto" w:fill="CFF0FC"/>
            <w:noWrap/>
            <w:tcMar>
              <w:top w:w="15" w:type="dxa"/>
              <w:left w:w="0" w:type="dxa"/>
              <w:bottom w:w="0" w:type="dxa"/>
              <w:right w:w="15" w:type="dxa"/>
            </w:tcMar>
            <w:vAlign w:val="bottom"/>
          </w:tcPr>
          <w:p w14:paraId="7C8575EE" w14:textId="77777777" w:rsidR="009A5AEC" w:rsidRDefault="00000000">
            <w:pPr>
              <w:pStyle w:val="Normal0"/>
              <w:jc w:val="right"/>
              <w:rPr>
                <w:color w:val="000000"/>
                <w:sz w:val="20"/>
              </w:rPr>
            </w:pPr>
            <w:r>
              <w:rPr>
                <w:color w:val="000000"/>
                <w:sz w:val="20"/>
              </w:rPr>
              <w:t>(18,867</w:t>
            </w:r>
          </w:p>
        </w:tc>
        <w:tc>
          <w:tcPr>
            <w:tcW w:w="50" w:type="pct"/>
            <w:shd w:val="clear" w:color="auto" w:fill="CFF0FC"/>
            <w:noWrap/>
            <w:tcMar>
              <w:top w:w="15" w:type="dxa"/>
              <w:left w:w="0" w:type="dxa"/>
              <w:bottom w:w="0" w:type="dxa"/>
              <w:right w:w="15" w:type="dxa"/>
            </w:tcMar>
            <w:vAlign w:val="bottom"/>
          </w:tcPr>
          <w:p w14:paraId="270A2585" w14:textId="77777777" w:rsidR="009A5AEC" w:rsidRDefault="00000000">
            <w:pPr>
              <w:pStyle w:val="Normal0"/>
              <w:rPr>
                <w:color w:val="000000"/>
                <w:sz w:val="20"/>
              </w:rPr>
            </w:pPr>
            <w:r>
              <w:rPr>
                <w:color w:val="000000"/>
                <w:sz w:val="20"/>
              </w:rPr>
              <w:t>)</w:t>
            </w:r>
          </w:p>
        </w:tc>
        <w:tc>
          <w:tcPr>
            <w:tcW w:w="72" w:type="pct"/>
            <w:shd w:val="clear" w:color="auto" w:fill="CFF0FC"/>
            <w:tcMar>
              <w:top w:w="15" w:type="dxa"/>
              <w:left w:w="0" w:type="dxa"/>
              <w:bottom w:w="0" w:type="dxa"/>
              <w:right w:w="15" w:type="dxa"/>
            </w:tcMar>
            <w:vAlign w:val="bottom"/>
          </w:tcPr>
          <w:p w14:paraId="4B4E351C" w14:textId="77777777" w:rsidR="009A5AEC" w:rsidRDefault="00000000">
            <w:pPr>
              <w:pStyle w:val="Normal0"/>
              <w:rPr>
                <w:color w:val="000000"/>
                <w:sz w:val="20"/>
              </w:rPr>
            </w:pPr>
            <w:r>
              <w:rPr>
                <w:color w:val="000000"/>
                <w:sz w:val="20"/>
              </w:rPr>
              <w:t xml:space="preserve"> </w:t>
            </w:r>
          </w:p>
        </w:tc>
        <w:tc>
          <w:tcPr>
            <w:tcW w:w="50" w:type="pct"/>
            <w:shd w:val="clear" w:color="auto" w:fill="CFF0FC"/>
            <w:noWrap/>
            <w:tcMar>
              <w:top w:w="15" w:type="dxa"/>
              <w:left w:w="0" w:type="dxa"/>
              <w:bottom w:w="0" w:type="dxa"/>
              <w:right w:w="15" w:type="dxa"/>
            </w:tcMar>
            <w:vAlign w:val="bottom"/>
          </w:tcPr>
          <w:p w14:paraId="12584C31" w14:textId="77777777" w:rsidR="009A5AEC" w:rsidRDefault="00000000">
            <w:pPr>
              <w:pStyle w:val="Normal0"/>
              <w:rPr>
                <w:color w:val="000000"/>
                <w:sz w:val="20"/>
              </w:rPr>
            </w:pPr>
            <w:r>
              <w:rPr>
                <w:color w:val="000000"/>
                <w:sz w:val="20"/>
              </w:rPr>
              <w:t xml:space="preserve"> </w:t>
            </w:r>
          </w:p>
        </w:tc>
        <w:tc>
          <w:tcPr>
            <w:tcW w:w="528" w:type="pct"/>
            <w:shd w:val="clear" w:color="auto" w:fill="CFF0FC"/>
            <w:noWrap/>
            <w:tcMar>
              <w:top w:w="15" w:type="dxa"/>
              <w:left w:w="0" w:type="dxa"/>
              <w:bottom w:w="0" w:type="dxa"/>
              <w:right w:w="15" w:type="dxa"/>
            </w:tcMar>
            <w:vAlign w:val="bottom"/>
          </w:tcPr>
          <w:p w14:paraId="606F9F2F" w14:textId="77777777" w:rsidR="009A5AEC" w:rsidRDefault="00000000">
            <w:pPr>
              <w:pStyle w:val="Normal0"/>
              <w:jc w:val="right"/>
              <w:rPr>
                <w:color w:val="000000"/>
                <w:sz w:val="20"/>
              </w:rPr>
            </w:pPr>
            <w:r>
              <w:rPr>
                <w:color w:val="000000"/>
                <w:sz w:val="20"/>
              </w:rPr>
              <w:t>(4,449</w:t>
            </w:r>
          </w:p>
        </w:tc>
        <w:tc>
          <w:tcPr>
            <w:tcW w:w="50" w:type="pct"/>
            <w:shd w:val="clear" w:color="auto" w:fill="CFF0FC"/>
            <w:noWrap/>
            <w:tcMar>
              <w:top w:w="15" w:type="dxa"/>
              <w:left w:w="0" w:type="dxa"/>
              <w:bottom w:w="0" w:type="dxa"/>
              <w:right w:w="15" w:type="dxa"/>
            </w:tcMar>
            <w:vAlign w:val="bottom"/>
          </w:tcPr>
          <w:p w14:paraId="353AAE6F" w14:textId="77777777" w:rsidR="009A5AEC" w:rsidRDefault="00000000">
            <w:pPr>
              <w:pStyle w:val="Normal0"/>
              <w:rPr>
                <w:color w:val="000000"/>
                <w:sz w:val="20"/>
              </w:rPr>
            </w:pPr>
            <w:r>
              <w:rPr>
                <w:color w:val="000000"/>
                <w:sz w:val="20"/>
              </w:rPr>
              <w:t>)</w:t>
            </w:r>
          </w:p>
        </w:tc>
        <w:tc>
          <w:tcPr>
            <w:tcW w:w="72" w:type="pct"/>
            <w:shd w:val="clear" w:color="auto" w:fill="CFF0FC"/>
            <w:tcMar>
              <w:top w:w="15" w:type="dxa"/>
              <w:left w:w="0" w:type="dxa"/>
              <w:bottom w:w="0" w:type="dxa"/>
              <w:right w:w="15" w:type="dxa"/>
            </w:tcMar>
            <w:vAlign w:val="bottom"/>
          </w:tcPr>
          <w:p w14:paraId="2742A26E" w14:textId="77777777" w:rsidR="009A5AEC" w:rsidRDefault="00000000">
            <w:pPr>
              <w:pStyle w:val="Normal0"/>
              <w:rPr>
                <w:color w:val="000000"/>
                <w:sz w:val="20"/>
              </w:rPr>
            </w:pPr>
            <w:r>
              <w:rPr>
                <w:color w:val="000000"/>
                <w:sz w:val="20"/>
              </w:rPr>
              <w:t xml:space="preserve"> </w:t>
            </w:r>
          </w:p>
        </w:tc>
        <w:tc>
          <w:tcPr>
            <w:tcW w:w="50" w:type="pct"/>
            <w:shd w:val="clear" w:color="auto" w:fill="CFF0FC"/>
            <w:noWrap/>
            <w:tcMar>
              <w:top w:w="15" w:type="dxa"/>
              <w:left w:w="0" w:type="dxa"/>
              <w:bottom w:w="0" w:type="dxa"/>
              <w:right w:w="15" w:type="dxa"/>
            </w:tcMar>
            <w:vAlign w:val="bottom"/>
          </w:tcPr>
          <w:p w14:paraId="425E2217" w14:textId="77777777" w:rsidR="009A5AEC" w:rsidRDefault="00000000">
            <w:pPr>
              <w:pStyle w:val="Normal0"/>
              <w:rPr>
                <w:color w:val="000000"/>
                <w:sz w:val="20"/>
              </w:rPr>
            </w:pPr>
            <w:r>
              <w:rPr>
                <w:color w:val="000000"/>
                <w:sz w:val="20"/>
              </w:rPr>
              <w:t xml:space="preserve"> </w:t>
            </w:r>
          </w:p>
        </w:tc>
        <w:tc>
          <w:tcPr>
            <w:tcW w:w="528" w:type="pct"/>
            <w:shd w:val="clear" w:color="auto" w:fill="CFF0FC"/>
            <w:noWrap/>
            <w:tcMar>
              <w:top w:w="15" w:type="dxa"/>
              <w:left w:w="0" w:type="dxa"/>
              <w:bottom w:w="0" w:type="dxa"/>
              <w:right w:w="15" w:type="dxa"/>
            </w:tcMar>
            <w:vAlign w:val="bottom"/>
          </w:tcPr>
          <w:p w14:paraId="304E94D0" w14:textId="77777777" w:rsidR="009A5AEC" w:rsidRDefault="00000000">
            <w:pPr>
              <w:pStyle w:val="Normal0"/>
              <w:jc w:val="right"/>
              <w:rPr>
                <w:color w:val="000000"/>
                <w:sz w:val="20"/>
              </w:rPr>
            </w:pPr>
            <w:r>
              <w:rPr>
                <w:color w:val="000000"/>
                <w:sz w:val="20"/>
              </w:rPr>
              <w:t>(18,665</w:t>
            </w:r>
          </w:p>
        </w:tc>
        <w:tc>
          <w:tcPr>
            <w:tcW w:w="50" w:type="pct"/>
            <w:shd w:val="clear" w:color="auto" w:fill="CFF0FC"/>
            <w:noWrap/>
            <w:tcMar>
              <w:top w:w="15" w:type="dxa"/>
              <w:left w:w="0" w:type="dxa"/>
              <w:bottom w:w="0" w:type="dxa"/>
              <w:right w:w="15" w:type="dxa"/>
            </w:tcMar>
            <w:vAlign w:val="bottom"/>
          </w:tcPr>
          <w:p w14:paraId="51AFBBD7" w14:textId="77777777" w:rsidR="009A5AEC" w:rsidRDefault="00000000">
            <w:pPr>
              <w:pStyle w:val="Normal0"/>
              <w:rPr>
                <w:color w:val="000000"/>
                <w:sz w:val="20"/>
              </w:rPr>
            </w:pPr>
            <w:r>
              <w:rPr>
                <w:color w:val="000000"/>
                <w:sz w:val="20"/>
              </w:rPr>
              <w:t>)</w:t>
            </w:r>
          </w:p>
        </w:tc>
      </w:tr>
      <w:tr w:rsidR="003116D1" w14:paraId="267780B7" w14:textId="77777777">
        <w:trPr>
          <w:cantSplit/>
          <w:jc w:val="center"/>
        </w:trPr>
        <w:tc>
          <w:tcPr>
            <w:tcW w:w="2195" w:type="pct"/>
            <w:shd w:val="clear" w:color="auto" w:fill="FFFFFF"/>
            <w:tcMar>
              <w:top w:w="15" w:type="dxa"/>
              <w:left w:w="0" w:type="dxa"/>
              <w:bottom w:w="0" w:type="dxa"/>
              <w:right w:w="15" w:type="dxa"/>
            </w:tcMar>
            <w:vAlign w:val="bottom"/>
          </w:tcPr>
          <w:p w14:paraId="0F9ADB8A" w14:textId="77777777" w:rsidR="009A5AEC" w:rsidRDefault="00000000">
            <w:pPr>
              <w:pStyle w:val="Normal0"/>
              <w:keepNext/>
              <w:rPr>
                <w:color w:val="000000"/>
                <w:sz w:val="20"/>
              </w:rPr>
            </w:pPr>
            <w:r>
              <w:rPr>
                <w:color w:val="000000"/>
                <w:sz w:val="20"/>
              </w:rPr>
              <w:t>Other (expense) income, net</w:t>
            </w:r>
          </w:p>
        </w:tc>
        <w:tc>
          <w:tcPr>
            <w:tcW w:w="72" w:type="pct"/>
            <w:shd w:val="clear" w:color="auto" w:fill="FFFFFF"/>
            <w:tcMar>
              <w:top w:w="15" w:type="dxa"/>
              <w:left w:w="0" w:type="dxa"/>
              <w:bottom w:w="0" w:type="dxa"/>
              <w:right w:w="15" w:type="dxa"/>
            </w:tcMar>
            <w:vAlign w:val="bottom"/>
          </w:tcPr>
          <w:p w14:paraId="42E4EDE9"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6387E6FF" w14:textId="77777777" w:rsidR="009A5AEC" w:rsidRDefault="00000000">
            <w:pPr>
              <w:pStyle w:val="Normal0"/>
              <w:rPr>
                <w:color w:val="000000"/>
                <w:sz w:val="20"/>
              </w:rPr>
            </w:pPr>
            <w:r>
              <w:rPr>
                <w:color w:val="000000"/>
                <w:sz w:val="20"/>
              </w:rPr>
              <w:t xml:space="preserve"> </w:t>
            </w:r>
          </w:p>
        </w:tc>
        <w:tc>
          <w:tcPr>
            <w:tcW w:w="528" w:type="pct"/>
            <w:tcBorders>
              <w:bottom w:val="single" w:sz="2" w:space="0" w:color="000000"/>
            </w:tcBorders>
            <w:shd w:val="clear" w:color="auto" w:fill="FFFFFF"/>
            <w:noWrap/>
            <w:tcMar>
              <w:top w:w="15" w:type="dxa"/>
              <w:left w:w="0" w:type="dxa"/>
              <w:bottom w:w="0" w:type="dxa"/>
              <w:right w:w="15" w:type="dxa"/>
            </w:tcMar>
            <w:vAlign w:val="bottom"/>
          </w:tcPr>
          <w:p w14:paraId="6FB5BF4B" w14:textId="77777777" w:rsidR="009A5AEC" w:rsidRDefault="00000000">
            <w:pPr>
              <w:pStyle w:val="Normal0"/>
              <w:jc w:val="right"/>
              <w:rPr>
                <w:color w:val="000000"/>
                <w:sz w:val="20"/>
              </w:rPr>
            </w:pPr>
            <w:r>
              <w:rPr>
                <w:color w:val="000000"/>
                <w:sz w:val="20"/>
              </w:rPr>
              <w:t>(13</w:t>
            </w:r>
          </w:p>
        </w:tc>
        <w:tc>
          <w:tcPr>
            <w:tcW w:w="50" w:type="pct"/>
            <w:shd w:val="clear" w:color="auto" w:fill="FFFFFF"/>
            <w:noWrap/>
            <w:tcMar>
              <w:top w:w="15" w:type="dxa"/>
              <w:left w:w="0" w:type="dxa"/>
              <w:bottom w:w="0" w:type="dxa"/>
              <w:right w:w="15" w:type="dxa"/>
            </w:tcMar>
            <w:vAlign w:val="bottom"/>
          </w:tcPr>
          <w:p w14:paraId="2A788759" w14:textId="77777777" w:rsidR="009A5AEC" w:rsidRDefault="00000000">
            <w:pPr>
              <w:pStyle w:val="Normal0"/>
              <w:rPr>
                <w:color w:val="000000"/>
                <w:sz w:val="20"/>
              </w:rPr>
            </w:pPr>
            <w:r>
              <w:rPr>
                <w:color w:val="000000"/>
                <w:sz w:val="20"/>
              </w:rPr>
              <w:t>)</w:t>
            </w:r>
          </w:p>
        </w:tc>
        <w:tc>
          <w:tcPr>
            <w:tcW w:w="72" w:type="pct"/>
            <w:shd w:val="clear" w:color="auto" w:fill="FFFFFF"/>
            <w:tcMar>
              <w:top w:w="15" w:type="dxa"/>
              <w:left w:w="0" w:type="dxa"/>
              <w:bottom w:w="0" w:type="dxa"/>
              <w:right w:w="15" w:type="dxa"/>
            </w:tcMar>
            <w:vAlign w:val="bottom"/>
          </w:tcPr>
          <w:p w14:paraId="6CED38C5"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63A7DCCB" w14:textId="77777777" w:rsidR="009A5AEC" w:rsidRDefault="00000000">
            <w:pPr>
              <w:pStyle w:val="Normal0"/>
              <w:rPr>
                <w:color w:val="000000"/>
                <w:sz w:val="20"/>
              </w:rPr>
            </w:pPr>
            <w:r>
              <w:rPr>
                <w:color w:val="000000"/>
                <w:sz w:val="20"/>
              </w:rPr>
              <w:t xml:space="preserve"> </w:t>
            </w:r>
          </w:p>
        </w:tc>
        <w:tc>
          <w:tcPr>
            <w:tcW w:w="528" w:type="pct"/>
            <w:tcBorders>
              <w:bottom w:val="single" w:sz="2" w:space="0" w:color="000000"/>
            </w:tcBorders>
            <w:shd w:val="clear" w:color="auto" w:fill="FFFFFF"/>
            <w:noWrap/>
            <w:tcMar>
              <w:top w:w="15" w:type="dxa"/>
              <w:left w:w="0" w:type="dxa"/>
              <w:bottom w:w="0" w:type="dxa"/>
              <w:right w:w="15" w:type="dxa"/>
            </w:tcMar>
            <w:vAlign w:val="bottom"/>
          </w:tcPr>
          <w:p w14:paraId="39CE4212" w14:textId="77777777" w:rsidR="009A5AEC" w:rsidRDefault="00000000">
            <w:pPr>
              <w:pStyle w:val="Normal0"/>
              <w:jc w:val="right"/>
              <w:rPr>
                <w:color w:val="000000"/>
                <w:sz w:val="20"/>
              </w:rPr>
            </w:pPr>
            <w:r>
              <w:rPr>
                <w:color w:val="000000"/>
                <w:sz w:val="20"/>
              </w:rPr>
              <w:t>240</w:t>
            </w:r>
          </w:p>
        </w:tc>
        <w:tc>
          <w:tcPr>
            <w:tcW w:w="50" w:type="pct"/>
            <w:shd w:val="clear" w:color="auto" w:fill="FFFFFF"/>
            <w:noWrap/>
            <w:tcMar>
              <w:top w:w="15" w:type="dxa"/>
              <w:left w:w="0" w:type="dxa"/>
              <w:bottom w:w="0" w:type="dxa"/>
              <w:right w:w="15" w:type="dxa"/>
            </w:tcMar>
            <w:vAlign w:val="bottom"/>
          </w:tcPr>
          <w:p w14:paraId="38C97CB7" w14:textId="77777777" w:rsidR="009A5AEC" w:rsidRDefault="00000000">
            <w:pPr>
              <w:pStyle w:val="Normal0"/>
              <w:rPr>
                <w:color w:val="000000"/>
                <w:sz w:val="20"/>
              </w:rPr>
            </w:pPr>
            <w:r>
              <w:rPr>
                <w:color w:val="000000"/>
                <w:sz w:val="20"/>
              </w:rPr>
              <w:t xml:space="preserve"> </w:t>
            </w:r>
          </w:p>
        </w:tc>
        <w:tc>
          <w:tcPr>
            <w:tcW w:w="72" w:type="pct"/>
            <w:shd w:val="clear" w:color="auto" w:fill="FFFFFF"/>
            <w:tcMar>
              <w:top w:w="15" w:type="dxa"/>
              <w:left w:w="0" w:type="dxa"/>
              <w:bottom w:w="0" w:type="dxa"/>
              <w:right w:w="15" w:type="dxa"/>
            </w:tcMar>
            <w:vAlign w:val="bottom"/>
          </w:tcPr>
          <w:p w14:paraId="24C23998"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4A285023" w14:textId="77777777" w:rsidR="009A5AEC" w:rsidRDefault="00000000">
            <w:pPr>
              <w:pStyle w:val="Normal0"/>
              <w:rPr>
                <w:color w:val="000000"/>
                <w:sz w:val="20"/>
              </w:rPr>
            </w:pPr>
            <w:r>
              <w:rPr>
                <w:color w:val="000000"/>
                <w:sz w:val="20"/>
              </w:rPr>
              <w:t xml:space="preserve"> </w:t>
            </w:r>
          </w:p>
        </w:tc>
        <w:tc>
          <w:tcPr>
            <w:tcW w:w="528" w:type="pct"/>
            <w:tcBorders>
              <w:bottom w:val="single" w:sz="2" w:space="0" w:color="000000"/>
            </w:tcBorders>
            <w:shd w:val="clear" w:color="auto" w:fill="FFFFFF"/>
            <w:noWrap/>
            <w:tcMar>
              <w:top w:w="15" w:type="dxa"/>
              <w:left w:w="0" w:type="dxa"/>
              <w:bottom w:w="0" w:type="dxa"/>
              <w:right w:w="15" w:type="dxa"/>
            </w:tcMar>
            <w:vAlign w:val="bottom"/>
          </w:tcPr>
          <w:p w14:paraId="07973957" w14:textId="77777777" w:rsidR="009A5AEC" w:rsidRDefault="00000000">
            <w:pPr>
              <w:pStyle w:val="Normal0"/>
              <w:jc w:val="right"/>
              <w:rPr>
                <w:color w:val="000000"/>
                <w:sz w:val="20"/>
              </w:rPr>
            </w:pPr>
            <w:r>
              <w:rPr>
                <w:color w:val="000000"/>
                <w:sz w:val="20"/>
              </w:rPr>
              <w:t>(37</w:t>
            </w:r>
          </w:p>
        </w:tc>
        <w:tc>
          <w:tcPr>
            <w:tcW w:w="50" w:type="pct"/>
            <w:shd w:val="clear" w:color="auto" w:fill="FFFFFF"/>
            <w:noWrap/>
            <w:tcMar>
              <w:top w:w="15" w:type="dxa"/>
              <w:left w:w="0" w:type="dxa"/>
              <w:bottom w:w="0" w:type="dxa"/>
              <w:right w:w="15" w:type="dxa"/>
            </w:tcMar>
            <w:vAlign w:val="bottom"/>
          </w:tcPr>
          <w:p w14:paraId="4F7F844A" w14:textId="77777777" w:rsidR="009A5AEC" w:rsidRDefault="00000000">
            <w:pPr>
              <w:pStyle w:val="Normal0"/>
              <w:rPr>
                <w:color w:val="000000"/>
                <w:sz w:val="20"/>
              </w:rPr>
            </w:pPr>
            <w:r>
              <w:rPr>
                <w:color w:val="000000"/>
                <w:sz w:val="20"/>
              </w:rPr>
              <w:t>)</w:t>
            </w:r>
          </w:p>
        </w:tc>
        <w:tc>
          <w:tcPr>
            <w:tcW w:w="72" w:type="pct"/>
            <w:shd w:val="clear" w:color="auto" w:fill="FFFFFF"/>
            <w:tcMar>
              <w:top w:w="15" w:type="dxa"/>
              <w:left w:w="0" w:type="dxa"/>
              <w:bottom w:w="0" w:type="dxa"/>
              <w:right w:w="15" w:type="dxa"/>
            </w:tcMar>
            <w:vAlign w:val="bottom"/>
          </w:tcPr>
          <w:p w14:paraId="6A02E1DF"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0BA023CC" w14:textId="77777777" w:rsidR="009A5AEC" w:rsidRDefault="00000000">
            <w:pPr>
              <w:pStyle w:val="Normal0"/>
              <w:rPr>
                <w:color w:val="000000"/>
                <w:sz w:val="20"/>
              </w:rPr>
            </w:pPr>
            <w:r>
              <w:rPr>
                <w:color w:val="000000"/>
                <w:sz w:val="20"/>
              </w:rPr>
              <w:t xml:space="preserve"> </w:t>
            </w:r>
          </w:p>
        </w:tc>
        <w:tc>
          <w:tcPr>
            <w:tcW w:w="528" w:type="pct"/>
            <w:tcBorders>
              <w:bottom w:val="single" w:sz="2" w:space="0" w:color="000000"/>
            </w:tcBorders>
            <w:shd w:val="clear" w:color="auto" w:fill="FFFFFF"/>
            <w:noWrap/>
            <w:tcMar>
              <w:top w:w="15" w:type="dxa"/>
              <w:left w:w="0" w:type="dxa"/>
              <w:bottom w:w="0" w:type="dxa"/>
              <w:right w:w="15" w:type="dxa"/>
            </w:tcMar>
            <w:vAlign w:val="bottom"/>
          </w:tcPr>
          <w:p w14:paraId="1989FF49" w14:textId="77777777" w:rsidR="009A5AEC" w:rsidRDefault="00000000">
            <w:pPr>
              <w:pStyle w:val="Normal0"/>
              <w:jc w:val="right"/>
              <w:rPr>
                <w:color w:val="000000"/>
                <w:sz w:val="20"/>
              </w:rPr>
            </w:pPr>
            <w:r>
              <w:rPr>
                <w:color w:val="000000"/>
                <w:sz w:val="20"/>
              </w:rPr>
              <w:t>280</w:t>
            </w:r>
          </w:p>
        </w:tc>
        <w:tc>
          <w:tcPr>
            <w:tcW w:w="50" w:type="pct"/>
            <w:shd w:val="clear" w:color="auto" w:fill="FFFFFF"/>
            <w:noWrap/>
            <w:tcMar>
              <w:top w:w="15" w:type="dxa"/>
              <w:left w:w="0" w:type="dxa"/>
              <w:bottom w:w="0" w:type="dxa"/>
              <w:right w:w="15" w:type="dxa"/>
            </w:tcMar>
            <w:vAlign w:val="bottom"/>
          </w:tcPr>
          <w:p w14:paraId="5E135382" w14:textId="77777777" w:rsidR="009A5AEC" w:rsidRDefault="00000000">
            <w:pPr>
              <w:pStyle w:val="Normal0"/>
              <w:rPr>
                <w:color w:val="000000"/>
                <w:sz w:val="20"/>
              </w:rPr>
            </w:pPr>
            <w:r>
              <w:rPr>
                <w:color w:val="000000"/>
                <w:sz w:val="20"/>
              </w:rPr>
              <w:t xml:space="preserve"> </w:t>
            </w:r>
          </w:p>
        </w:tc>
      </w:tr>
      <w:tr w:rsidR="003116D1" w14:paraId="1961B360" w14:textId="77777777">
        <w:trPr>
          <w:cantSplit/>
          <w:jc w:val="center"/>
        </w:trPr>
        <w:tc>
          <w:tcPr>
            <w:tcW w:w="2195" w:type="pct"/>
            <w:shd w:val="clear" w:color="auto" w:fill="CFF0FC"/>
            <w:tcMar>
              <w:top w:w="15" w:type="dxa"/>
              <w:left w:w="0" w:type="dxa"/>
              <w:bottom w:w="0" w:type="dxa"/>
              <w:right w:w="15" w:type="dxa"/>
            </w:tcMar>
            <w:vAlign w:val="bottom"/>
          </w:tcPr>
          <w:p w14:paraId="5191A1D4" w14:textId="77777777" w:rsidR="009A5AEC" w:rsidRDefault="00000000">
            <w:pPr>
              <w:pStyle w:val="Normal0"/>
              <w:keepNext/>
              <w:rPr>
                <w:color w:val="000000"/>
                <w:sz w:val="20"/>
              </w:rPr>
            </w:pPr>
            <w:r>
              <w:rPr>
                <w:color w:val="000000"/>
                <w:sz w:val="20"/>
              </w:rPr>
              <w:t>Total other (expense) income, net</w:t>
            </w:r>
          </w:p>
        </w:tc>
        <w:tc>
          <w:tcPr>
            <w:tcW w:w="72" w:type="pct"/>
            <w:shd w:val="clear" w:color="auto" w:fill="CFF0FC"/>
            <w:tcMar>
              <w:top w:w="15" w:type="dxa"/>
              <w:left w:w="0" w:type="dxa"/>
              <w:bottom w:w="0" w:type="dxa"/>
              <w:right w:w="15" w:type="dxa"/>
            </w:tcMar>
            <w:vAlign w:val="bottom"/>
          </w:tcPr>
          <w:p w14:paraId="5AFA2871"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single" w:sz="2" w:space="0" w:color="000000"/>
            </w:tcBorders>
            <w:shd w:val="clear" w:color="auto" w:fill="CFF0FC"/>
            <w:noWrap/>
            <w:tcMar>
              <w:top w:w="15" w:type="dxa"/>
              <w:left w:w="0" w:type="dxa"/>
              <w:bottom w:w="0" w:type="dxa"/>
              <w:right w:w="15" w:type="dxa"/>
            </w:tcMar>
            <w:vAlign w:val="bottom"/>
          </w:tcPr>
          <w:p w14:paraId="49EE5C81" w14:textId="77777777" w:rsidR="009A5AEC" w:rsidRDefault="00000000">
            <w:pPr>
              <w:pStyle w:val="Normal0"/>
              <w:rPr>
                <w:color w:val="000000"/>
                <w:sz w:val="20"/>
              </w:rPr>
            </w:pPr>
            <w:r>
              <w:rPr>
                <w:color w:val="000000"/>
                <w:sz w:val="20"/>
              </w:rPr>
              <w:t xml:space="preserve"> </w:t>
            </w:r>
          </w:p>
        </w:tc>
        <w:tc>
          <w:tcPr>
            <w:tcW w:w="528" w:type="pct"/>
            <w:tcBorders>
              <w:top w:val="single" w:sz="2" w:space="0" w:color="000000"/>
              <w:bottom w:val="single" w:sz="2" w:space="0" w:color="000000"/>
            </w:tcBorders>
            <w:shd w:val="clear" w:color="auto" w:fill="CFF0FC"/>
            <w:noWrap/>
            <w:tcMar>
              <w:top w:w="15" w:type="dxa"/>
              <w:left w:w="0" w:type="dxa"/>
              <w:bottom w:w="0" w:type="dxa"/>
              <w:right w:w="15" w:type="dxa"/>
            </w:tcMar>
            <w:vAlign w:val="bottom"/>
          </w:tcPr>
          <w:p w14:paraId="585F9874" w14:textId="77777777" w:rsidR="009A5AEC" w:rsidRDefault="00000000">
            <w:pPr>
              <w:pStyle w:val="Normal0"/>
              <w:jc w:val="right"/>
              <w:rPr>
                <w:color w:val="000000"/>
                <w:sz w:val="20"/>
              </w:rPr>
            </w:pPr>
            <w:r>
              <w:rPr>
                <w:color w:val="000000"/>
                <w:sz w:val="20"/>
              </w:rPr>
              <w:t>(2,083</w:t>
            </w:r>
          </w:p>
        </w:tc>
        <w:tc>
          <w:tcPr>
            <w:tcW w:w="50" w:type="pct"/>
            <w:shd w:val="clear" w:color="auto" w:fill="CFF0FC"/>
            <w:noWrap/>
            <w:tcMar>
              <w:top w:w="15" w:type="dxa"/>
              <w:left w:w="0" w:type="dxa"/>
              <w:bottom w:w="0" w:type="dxa"/>
              <w:right w:w="15" w:type="dxa"/>
            </w:tcMar>
            <w:vAlign w:val="bottom"/>
          </w:tcPr>
          <w:p w14:paraId="666880F1" w14:textId="77777777" w:rsidR="009A5AEC" w:rsidRDefault="00000000">
            <w:pPr>
              <w:pStyle w:val="Normal0"/>
              <w:rPr>
                <w:color w:val="000000"/>
                <w:sz w:val="20"/>
              </w:rPr>
            </w:pPr>
            <w:r>
              <w:rPr>
                <w:color w:val="000000"/>
                <w:sz w:val="20"/>
              </w:rPr>
              <w:t>)</w:t>
            </w:r>
          </w:p>
        </w:tc>
        <w:tc>
          <w:tcPr>
            <w:tcW w:w="72" w:type="pct"/>
            <w:shd w:val="clear" w:color="auto" w:fill="CFF0FC"/>
            <w:tcMar>
              <w:top w:w="15" w:type="dxa"/>
              <w:left w:w="0" w:type="dxa"/>
              <w:bottom w:w="0" w:type="dxa"/>
              <w:right w:w="15" w:type="dxa"/>
            </w:tcMar>
            <w:vAlign w:val="bottom"/>
          </w:tcPr>
          <w:p w14:paraId="52277F7B"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single" w:sz="2" w:space="0" w:color="000000"/>
            </w:tcBorders>
            <w:shd w:val="clear" w:color="auto" w:fill="CFF0FC"/>
            <w:noWrap/>
            <w:tcMar>
              <w:top w:w="15" w:type="dxa"/>
              <w:left w:w="0" w:type="dxa"/>
              <w:bottom w:w="0" w:type="dxa"/>
              <w:right w:w="15" w:type="dxa"/>
            </w:tcMar>
            <w:vAlign w:val="bottom"/>
          </w:tcPr>
          <w:p w14:paraId="50527B08" w14:textId="77777777" w:rsidR="009A5AEC" w:rsidRDefault="00000000">
            <w:pPr>
              <w:pStyle w:val="Normal0"/>
              <w:rPr>
                <w:color w:val="000000"/>
                <w:sz w:val="20"/>
              </w:rPr>
            </w:pPr>
            <w:r>
              <w:rPr>
                <w:color w:val="000000"/>
                <w:sz w:val="20"/>
              </w:rPr>
              <w:t xml:space="preserve"> </w:t>
            </w:r>
          </w:p>
        </w:tc>
        <w:tc>
          <w:tcPr>
            <w:tcW w:w="528" w:type="pct"/>
            <w:tcBorders>
              <w:top w:val="single" w:sz="2" w:space="0" w:color="000000"/>
              <w:bottom w:val="single" w:sz="2" w:space="0" w:color="000000"/>
            </w:tcBorders>
            <w:shd w:val="clear" w:color="auto" w:fill="CFF0FC"/>
            <w:noWrap/>
            <w:tcMar>
              <w:top w:w="15" w:type="dxa"/>
              <w:left w:w="0" w:type="dxa"/>
              <w:bottom w:w="0" w:type="dxa"/>
              <w:right w:w="15" w:type="dxa"/>
            </w:tcMar>
            <w:vAlign w:val="bottom"/>
          </w:tcPr>
          <w:p w14:paraId="0746CA96" w14:textId="77777777" w:rsidR="009A5AEC" w:rsidRDefault="00000000">
            <w:pPr>
              <w:pStyle w:val="Normal0"/>
              <w:jc w:val="right"/>
              <w:rPr>
                <w:color w:val="000000"/>
                <w:sz w:val="20"/>
              </w:rPr>
            </w:pPr>
            <w:r>
              <w:rPr>
                <w:color w:val="000000"/>
                <w:sz w:val="20"/>
              </w:rPr>
              <w:t>41,575</w:t>
            </w:r>
          </w:p>
        </w:tc>
        <w:tc>
          <w:tcPr>
            <w:tcW w:w="50" w:type="pct"/>
            <w:shd w:val="clear" w:color="auto" w:fill="CFF0FC"/>
            <w:noWrap/>
            <w:tcMar>
              <w:top w:w="15" w:type="dxa"/>
              <w:left w:w="0" w:type="dxa"/>
              <w:bottom w:w="0" w:type="dxa"/>
              <w:right w:w="15" w:type="dxa"/>
            </w:tcMar>
            <w:vAlign w:val="bottom"/>
          </w:tcPr>
          <w:p w14:paraId="41D68674" w14:textId="77777777" w:rsidR="009A5AEC" w:rsidRDefault="00000000">
            <w:pPr>
              <w:pStyle w:val="Normal0"/>
              <w:rPr>
                <w:color w:val="000000"/>
                <w:sz w:val="20"/>
              </w:rPr>
            </w:pPr>
            <w:r>
              <w:rPr>
                <w:color w:val="000000"/>
                <w:sz w:val="20"/>
              </w:rPr>
              <w:t xml:space="preserve"> </w:t>
            </w:r>
          </w:p>
        </w:tc>
        <w:tc>
          <w:tcPr>
            <w:tcW w:w="72" w:type="pct"/>
            <w:shd w:val="clear" w:color="auto" w:fill="CFF0FC"/>
            <w:tcMar>
              <w:top w:w="15" w:type="dxa"/>
              <w:left w:w="0" w:type="dxa"/>
              <w:bottom w:w="0" w:type="dxa"/>
              <w:right w:w="15" w:type="dxa"/>
            </w:tcMar>
            <w:vAlign w:val="bottom"/>
          </w:tcPr>
          <w:p w14:paraId="5DF0DF30"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single" w:sz="2" w:space="0" w:color="000000"/>
            </w:tcBorders>
            <w:shd w:val="clear" w:color="auto" w:fill="CFF0FC"/>
            <w:noWrap/>
            <w:tcMar>
              <w:top w:w="15" w:type="dxa"/>
              <w:left w:w="0" w:type="dxa"/>
              <w:bottom w:w="0" w:type="dxa"/>
              <w:right w:w="15" w:type="dxa"/>
            </w:tcMar>
            <w:vAlign w:val="bottom"/>
          </w:tcPr>
          <w:p w14:paraId="7CAF267A" w14:textId="77777777" w:rsidR="009A5AEC" w:rsidRDefault="00000000">
            <w:pPr>
              <w:pStyle w:val="Normal0"/>
              <w:rPr>
                <w:color w:val="000000"/>
                <w:sz w:val="20"/>
              </w:rPr>
            </w:pPr>
            <w:r>
              <w:rPr>
                <w:color w:val="000000"/>
                <w:sz w:val="20"/>
              </w:rPr>
              <w:t xml:space="preserve"> </w:t>
            </w:r>
          </w:p>
        </w:tc>
        <w:tc>
          <w:tcPr>
            <w:tcW w:w="528" w:type="pct"/>
            <w:tcBorders>
              <w:top w:val="single" w:sz="2" w:space="0" w:color="000000"/>
              <w:bottom w:val="single" w:sz="2" w:space="0" w:color="000000"/>
            </w:tcBorders>
            <w:shd w:val="clear" w:color="auto" w:fill="CFF0FC"/>
            <w:noWrap/>
            <w:tcMar>
              <w:top w:w="15" w:type="dxa"/>
              <w:left w:w="0" w:type="dxa"/>
              <w:bottom w:w="0" w:type="dxa"/>
              <w:right w:w="15" w:type="dxa"/>
            </w:tcMar>
            <w:vAlign w:val="bottom"/>
          </w:tcPr>
          <w:p w14:paraId="666401B1" w14:textId="77777777" w:rsidR="009A5AEC" w:rsidRDefault="00000000">
            <w:pPr>
              <w:pStyle w:val="Normal0"/>
              <w:jc w:val="right"/>
              <w:rPr>
                <w:color w:val="000000"/>
                <w:sz w:val="20"/>
              </w:rPr>
            </w:pPr>
            <w:r>
              <w:rPr>
                <w:color w:val="000000"/>
                <w:sz w:val="20"/>
              </w:rPr>
              <w:t>(4,435</w:t>
            </w:r>
          </w:p>
        </w:tc>
        <w:tc>
          <w:tcPr>
            <w:tcW w:w="50" w:type="pct"/>
            <w:shd w:val="clear" w:color="auto" w:fill="CFF0FC"/>
            <w:noWrap/>
            <w:tcMar>
              <w:top w:w="15" w:type="dxa"/>
              <w:left w:w="0" w:type="dxa"/>
              <w:bottom w:w="0" w:type="dxa"/>
              <w:right w:w="15" w:type="dxa"/>
            </w:tcMar>
            <w:vAlign w:val="bottom"/>
          </w:tcPr>
          <w:p w14:paraId="25A1C862" w14:textId="77777777" w:rsidR="009A5AEC" w:rsidRDefault="00000000">
            <w:pPr>
              <w:pStyle w:val="Normal0"/>
              <w:rPr>
                <w:color w:val="000000"/>
                <w:sz w:val="20"/>
              </w:rPr>
            </w:pPr>
            <w:r>
              <w:rPr>
                <w:color w:val="000000"/>
                <w:sz w:val="20"/>
              </w:rPr>
              <w:t>)</w:t>
            </w:r>
          </w:p>
        </w:tc>
        <w:tc>
          <w:tcPr>
            <w:tcW w:w="72" w:type="pct"/>
            <w:shd w:val="clear" w:color="auto" w:fill="CFF0FC"/>
            <w:tcMar>
              <w:top w:w="15" w:type="dxa"/>
              <w:left w:w="0" w:type="dxa"/>
              <w:bottom w:w="0" w:type="dxa"/>
              <w:right w:w="15" w:type="dxa"/>
            </w:tcMar>
            <w:vAlign w:val="bottom"/>
          </w:tcPr>
          <w:p w14:paraId="4A910C5A"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single" w:sz="2" w:space="0" w:color="000000"/>
            </w:tcBorders>
            <w:shd w:val="clear" w:color="auto" w:fill="CFF0FC"/>
            <w:noWrap/>
            <w:tcMar>
              <w:top w:w="15" w:type="dxa"/>
              <w:left w:w="0" w:type="dxa"/>
              <w:bottom w:w="0" w:type="dxa"/>
              <w:right w:w="15" w:type="dxa"/>
            </w:tcMar>
            <w:vAlign w:val="bottom"/>
          </w:tcPr>
          <w:p w14:paraId="3993ADBD" w14:textId="77777777" w:rsidR="009A5AEC" w:rsidRDefault="00000000">
            <w:pPr>
              <w:pStyle w:val="Normal0"/>
              <w:rPr>
                <w:color w:val="000000"/>
                <w:sz w:val="20"/>
              </w:rPr>
            </w:pPr>
            <w:r>
              <w:rPr>
                <w:color w:val="000000"/>
                <w:sz w:val="20"/>
              </w:rPr>
              <w:t xml:space="preserve"> </w:t>
            </w:r>
          </w:p>
        </w:tc>
        <w:tc>
          <w:tcPr>
            <w:tcW w:w="528" w:type="pct"/>
            <w:tcBorders>
              <w:top w:val="single" w:sz="2" w:space="0" w:color="000000"/>
              <w:bottom w:val="single" w:sz="2" w:space="0" w:color="000000"/>
            </w:tcBorders>
            <w:shd w:val="clear" w:color="auto" w:fill="CFF0FC"/>
            <w:noWrap/>
            <w:tcMar>
              <w:top w:w="15" w:type="dxa"/>
              <w:left w:w="0" w:type="dxa"/>
              <w:bottom w:w="0" w:type="dxa"/>
              <w:right w:w="15" w:type="dxa"/>
            </w:tcMar>
            <w:vAlign w:val="bottom"/>
          </w:tcPr>
          <w:p w14:paraId="717D0BB7" w14:textId="77777777" w:rsidR="009A5AEC" w:rsidRDefault="00000000">
            <w:pPr>
              <w:pStyle w:val="Normal0"/>
              <w:jc w:val="right"/>
              <w:rPr>
                <w:color w:val="000000"/>
                <w:sz w:val="20"/>
              </w:rPr>
            </w:pPr>
            <w:r>
              <w:rPr>
                <w:color w:val="000000"/>
                <w:sz w:val="20"/>
              </w:rPr>
              <w:t>41,059</w:t>
            </w:r>
          </w:p>
        </w:tc>
        <w:tc>
          <w:tcPr>
            <w:tcW w:w="50" w:type="pct"/>
            <w:shd w:val="clear" w:color="auto" w:fill="CFF0FC"/>
            <w:noWrap/>
            <w:tcMar>
              <w:top w:w="15" w:type="dxa"/>
              <w:left w:w="0" w:type="dxa"/>
              <w:bottom w:w="0" w:type="dxa"/>
              <w:right w:w="15" w:type="dxa"/>
            </w:tcMar>
            <w:vAlign w:val="bottom"/>
          </w:tcPr>
          <w:p w14:paraId="65376670" w14:textId="77777777" w:rsidR="009A5AEC" w:rsidRDefault="00000000">
            <w:pPr>
              <w:pStyle w:val="Normal0"/>
              <w:rPr>
                <w:color w:val="000000"/>
                <w:sz w:val="20"/>
              </w:rPr>
            </w:pPr>
            <w:r>
              <w:rPr>
                <w:color w:val="000000"/>
                <w:sz w:val="20"/>
              </w:rPr>
              <w:t xml:space="preserve"> </w:t>
            </w:r>
          </w:p>
        </w:tc>
      </w:tr>
      <w:tr w:rsidR="003116D1" w14:paraId="65B5DB52" w14:textId="77777777">
        <w:trPr>
          <w:cantSplit/>
          <w:jc w:val="center"/>
        </w:trPr>
        <w:tc>
          <w:tcPr>
            <w:tcW w:w="2195" w:type="pct"/>
            <w:shd w:val="clear" w:color="auto" w:fill="FFFFFF"/>
            <w:tcMar>
              <w:top w:w="15" w:type="dxa"/>
              <w:left w:w="0" w:type="dxa"/>
              <w:bottom w:w="0" w:type="dxa"/>
              <w:right w:w="15" w:type="dxa"/>
            </w:tcMar>
            <w:vAlign w:val="bottom"/>
          </w:tcPr>
          <w:p w14:paraId="542B37CD" w14:textId="77777777" w:rsidR="009A5AEC" w:rsidRDefault="00000000">
            <w:pPr>
              <w:pStyle w:val="Normal0"/>
              <w:rPr>
                <w:color w:val="000000"/>
                <w:sz w:val="20"/>
              </w:rPr>
            </w:pPr>
            <w:r>
              <w:rPr>
                <w:color w:val="000000"/>
                <w:sz w:val="20"/>
              </w:rPr>
              <w:t>(Loss) Income Before Income Taxes</w:t>
            </w:r>
          </w:p>
        </w:tc>
        <w:tc>
          <w:tcPr>
            <w:tcW w:w="72" w:type="pct"/>
            <w:shd w:val="clear" w:color="auto" w:fill="FFFFFF"/>
            <w:tcMar>
              <w:top w:w="15" w:type="dxa"/>
              <w:left w:w="0" w:type="dxa"/>
              <w:bottom w:w="0" w:type="dxa"/>
              <w:right w:w="15" w:type="dxa"/>
            </w:tcMar>
            <w:vAlign w:val="bottom"/>
          </w:tcPr>
          <w:p w14:paraId="190889B8"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77980DF0" w14:textId="77777777" w:rsidR="009A5AEC" w:rsidRDefault="00000000">
            <w:pPr>
              <w:pStyle w:val="Normal0"/>
              <w:rPr>
                <w:color w:val="000000"/>
                <w:sz w:val="20"/>
              </w:rPr>
            </w:pPr>
            <w:r>
              <w:rPr>
                <w:color w:val="000000"/>
                <w:sz w:val="20"/>
              </w:rPr>
              <w:t>$</w:t>
            </w:r>
          </w:p>
        </w:tc>
        <w:tc>
          <w:tcPr>
            <w:tcW w:w="528"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1F5BB5F0" w14:textId="77777777" w:rsidR="009A5AEC" w:rsidRDefault="00000000">
            <w:pPr>
              <w:pStyle w:val="Normal0"/>
              <w:jc w:val="right"/>
              <w:rPr>
                <w:color w:val="000000"/>
                <w:sz w:val="20"/>
              </w:rPr>
            </w:pPr>
            <w:r>
              <w:rPr>
                <w:color w:val="000000"/>
                <w:sz w:val="20"/>
              </w:rPr>
              <w:t>(1,962</w:t>
            </w:r>
          </w:p>
        </w:tc>
        <w:tc>
          <w:tcPr>
            <w:tcW w:w="50" w:type="pct"/>
            <w:shd w:val="clear" w:color="auto" w:fill="FFFFFF"/>
            <w:noWrap/>
            <w:tcMar>
              <w:top w:w="15" w:type="dxa"/>
              <w:left w:w="0" w:type="dxa"/>
              <w:bottom w:w="0" w:type="dxa"/>
              <w:right w:w="15" w:type="dxa"/>
            </w:tcMar>
            <w:vAlign w:val="bottom"/>
          </w:tcPr>
          <w:p w14:paraId="1C5F7482" w14:textId="77777777" w:rsidR="009A5AEC" w:rsidRDefault="00000000">
            <w:pPr>
              <w:pStyle w:val="Normal0"/>
              <w:rPr>
                <w:color w:val="000000"/>
                <w:sz w:val="20"/>
              </w:rPr>
            </w:pPr>
            <w:r>
              <w:rPr>
                <w:color w:val="000000"/>
                <w:sz w:val="20"/>
              </w:rPr>
              <w:t>)</w:t>
            </w:r>
          </w:p>
        </w:tc>
        <w:tc>
          <w:tcPr>
            <w:tcW w:w="72" w:type="pct"/>
            <w:shd w:val="clear" w:color="auto" w:fill="FFFFFF"/>
            <w:tcMar>
              <w:top w:w="15" w:type="dxa"/>
              <w:left w:w="0" w:type="dxa"/>
              <w:bottom w:w="0" w:type="dxa"/>
              <w:right w:w="15" w:type="dxa"/>
            </w:tcMar>
            <w:vAlign w:val="bottom"/>
          </w:tcPr>
          <w:p w14:paraId="15055B2C"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09876674" w14:textId="77777777" w:rsidR="009A5AEC" w:rsidRDefault="00000000">
            <w:pPr>
              <w:pStyle w:val="Normal0"/>
              <w:rPr>
                <w:color w:val="000000"/>
                <w:sz w:val="20"/>
              </w:rPr>
            </w:pPr>
            <w:r>
              <w:rPr>
                <w:color w:val="000000"/>
                <w:sz w:val="20"/>
              </w:rPr>
              <w:t>$</w:t>
            </w:r>
          </w:p>
        </w:tc>
        <w:tc>
          <w:tcPr>
            <w:tcW w:w="528"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2A721DD9" w14:textId="77777777" w:rsidR="009A5AEC" w:rsidRDefault="00000000">
            <w:pPr>
              <w:pStyle w:val="Normal0"/>
              <w:jc w:val="right"/>
              <w:rPr>
                <w:color w:val="000000"/>
                <w:sz w:val="20"/>
              </w:rPr>
            </w:pPr>
            <w:r>
              <w:rPr>
                <w:color w:val="000000"/>
                <w:sz w:val="20"/>
              </w:rPr>
              <w:t>40,829</w:t>
            </w:r>
          </w:p>
        </w:tc>
        <w:tc>
          <w:tcPr>
            <w:tcW w:w="50" w:type="pct"/>
            <w:shd w:val="clear" w:color="auto" w:fill="FFFFFF"/>
            <w:noWrap/>
            <w:tcMar>
              <w:top w:w="15" w:type="dxa"/>
              <w:left w:w="0" w:type="dxa"/>
              <w:bottom w:w="0" w:type="dxa"/>
              <w:right w:w="15" w:type="dxa"/>
            </w:tcMar>
            <w:vAlign w:val="bottom"/>
          </w:tcPr>
          <w:p w14:paraId="76EFE006" w14:textId="77777777" w:rsidR="009A5AEC" w:rsidRDefault="00000000">
            <w:pPr>
              <w:pStyle w:val="Normal0"/>
              <w:rPr>
                <w:color w:val="000000"/>
                <w:sz w:val="20"/>
              </w:rPr>
            </w:pPr>
            <w:r>
              <w:rPr>
                <w:color w:val="000000"/>
                <w:sz w:val="20"/>
              </w:rPr>
              <w:t xml:space="preserve"> </w:t>
            </w:r>
          </w:p>
        </w:tc>
        <w:tc>
          <w:tcPr>
            <w:tcW w:w="72" w:type="pct"/>
            <w:shd w:val="clear" w:color="auto" w:fill="FFFFFF"/>
            <w:tcMar>
              <w:top w:w="15" w:type="dxa"/>
              <w:left w:w="0" w:type="dxa"/>
              <w:bottom w:w="0" w:type="dxa"/>
              <w:right w:w="15" w:type="dxa"/>
            </w:tcMar>
            <w:vAlign w:val="bottom"/>
          </w:tcPr>
          <w:p w14:paraId="6B725058"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1B813E13" w14:textId="77777777" w:rsidR="009A5AEC" w:rsidRDefault="00000000">
            <w:pPr>
              <w:pStyle w:val="Normal0"/>
              <w:rPr>
                <w:color w:val="000000"/>
                <w:sz w:val="20"/>
              </w:rPr>
            </w:pPr>
            <w:r>
              <w:rPr>
                <w:color w:val="000000"/>
                <w:sz w:val="20"/>
              </w:rPr>
              <w:t>$</w:t>
            </w:r>
          </w:p>
        </w:tc>
        <w:tc>
          <w:tcPr>
            <w:tcW w:w="528"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48372D5A" w14:textId="77777777" w:rsidR="009A5AEC" w:rsidRDefault="00000000">
            <w:pPr>
              <w:pStyle w:val="Normal0"/>
              <w:jc w:val="right"/>
              <w:rPr>
                <w:color w:val="000000"/>
                <w:sz w:val="20"/>
              </w:rPr>
            </w:pPr>
            <w:r>
              <w:rPr>
                <w:color w:val="000000"/>
                <w:sz w:val="20"/>
              </w:rPr>
              <w:t>(3,969</w:t>
            </w:r>
          </w:p>
        </w:tc>
        <w:tc>
          <w:tcPr>
            <w:tcW w:w="50" w:type="pct"/>
            <w:shd w:val="clear" w:color="auto" w:fill="FFFFFF"/>
            <w:noWrap/>
            <w:tcMar>
              <w:top w:w="15" w:type="dxa"/>
              <w:left w:w="0" w:type="dxa"/>
              <w:bottom w:w="0" w:type="dxa"/>
              <w:right w:w="15" w:type="dxa"/>
            </w:tcMar>
            <w:vAlign w:val="bottom"/>
          </w:tcPr>
          <w:p w14:paraId="07D3B65B" w14:textId="77777777" w:rsidR="009A5AEC" w:rsidRDefault="00000000">
            <w:pPr>
              <w:pStyle w:val="Normal0"/>
              <w:rPr>
                <w:color w:val="000000"/>
                <w:sz w:val="20"/>
              </w:rPr>
            </w:pPr>
            <w:r>
              <w:rPr>
                <w:color w:val="000000"/>
                <w:sz w:val="20"/>
              </w:rPr>
              <w:t>)</w:t>
            </w:r>
          </w:p>
        </w:tc>
        <w:tc>
          <w:tcPr>
            <w:tcW w:w="72" w:type="pct"/>
            <w:shd w:val="clear" w:color="auto" w:fill="FFFFFF"/>
            <w:tcMar>
              <w:top w:w="15" w:type="dxa"/>
              <w:left w:w="0" w:type="dxa"/>
              <w:bottom w:w="0" w:type="dxa"/>
              <w:right w:w="15" w:type="dxa"/>
            </w:tcMar>
            <w:vAlign w:val="bottom"/>
          </w:tcPr>
          <w:p w14:paraId="600780AC"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1AE0287E" w14:textId="77777777" w:rsidR="009A5AEC" w:rsidRDefault="00000000">
            <w:pPr>
              <w:pStyle w:val="Normal0"/>
              <w:rPr>
                <w:color w:val="000000"/>
                <w:sz w:val="20"/>
              </w:rPr>
            </w:pPr>
            <w:r>
              <w:rPr>
                <w:color w:val="000000"/>
                <w:sz w:val="20"/>
              </w:rPr>
              <w:t>$</w:t>
            </w:r>
          </w:p>
        </w:tc>
        <w:tc>
          <w:tcPr>
            <w:tcW w:w="528"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247E33BB" w14:textId="77777777" w:rsidR="009A5AEC" w:rsidRDefault="00000000">
            <w:pPr>
              <w:pStyle w:val="Normal0"/>
              <w:jc w:val="right"/>
              <w:rPr>
                <w:color w:val="000000"/>
                <w:sz w:val="20"/>
              </w:rPr>
            </w:pPr>
            <w:r>
              <w:rPr>
                <w:color w:val="000000"/>
                <w:sz w:val="20"/>
              </w:rPr>
              <w:t>40,869</w:t>
            </w:r>
          </w:p>
        </w:tc>
        <w:tc>
          <w:tcPr>
            <w:tcW w:w="50" w:type="pct"/>
            <w:shd w:val="clear" w:color="auto" w:fill="FFFFFF"/>
            <w:noWrap/>
            <w:tcMar>
              <w:top w:w="15" w:type="dxa"/>
              <w:left w:w="0" w:type="dxa"/>
              <w:bottom w:w="0" w:type="dxa"/>
              <w:right w:w="15" w:type="dxa"/>
            </w:tcMar>
            <w:vAlign w:val="bottom"/>
          </w:tcPr>
          <w:p w14:paraId="18934B20" w14:textId="77777777" w:rsidR="009A5AEC" w:rsidRDefault="00000000">
            <w:pPr>
              <w:pStyle w:val="Normal0"/>
              <w:rPr>
                <w:color w:val="000000"/>
                <w:sz w:val="20"/>
              </w:rPr>
            </w:pPr>
            <w:r>
              <w:rPr>
                <w:color w:val="000000"/>
                <w:sz w:val="2"/>
              </w:rPr>
              <w:t xml:space="preserve"> </w:t>
            </w:r>
          </w:p>
        </w:tc>
      </w:tr>
    </w:tbl>
    <w:p w14:paraId="0CABCAAF" w14:textId="77777777" w:rsidR="00B00880" w:rsidRPr="00D61396" w:rsidRDefault="00000000" w:rsidP="00B91B37">
      <w:pPr>
        <w:pStyle w:val="Normal0"/>
        <w:spacing w:after="120"/>
        <w:jc w:val="both"/>
        <w:rPr>
          <w:color w:val="000000"/>
          <w:sz w:val="22"/>
          <w:szCs w:val="22"/>
        </w:rPr>
      </w:pPr>
      <w:r w:rsidRPr="00B00880">
        <w:rPr>
          <w:color w:val="000000"/>
          <w:sz w:val="22"/>
          <w:szCs w:val="22"/>
        </w:rPr>
        <w:t>Operating income is equal to revenues less cost of sales and operating expenses (engineering, selling and administrative expenses).</w:t>
      </w:r>
    </w:p>
    <w:p w14:paraId="358B52A6" w14:textId="77777777" w:rsidR="0041202D" w:rsidRPr="00671372" w:rsidRDefault="00000000" w:rsidP="0081031B">
      <w:pPr>
        <w:pStyle w:val="Normal0"/>
        <w:keepNext/>
        <w:spacing w:before="240" w:after="120"/>
        <w:jc w:val="both"/>
        <w:rPr>
          <w:b/>
          <w:bCs/>
          <w:color w:val="000000"/>
          <w:sz w:val="22"/>
          <w:szCs w:val="22"/>
        </w:rPr>
      </w:pPr>
      <w:r w:rsidRPr="00671372">
        <w:rPr>
          <w:b/>
          <w:bCs/>
          <w:color w:val="000000"/>
          <w:sz w:val="22"/>
          <w:szCs w:val="22"/>
        </w:rPr>
        <w:t>BALANCE SHEET</w:t>
      </w:r>
    </w:p>
    <w:p w14:paraId="3CEE7130" w14:textId="77777777" w:rsidR="0041202D" w:rsidRPr="00414485" w:rsidRDefault="00000000" w:rsidP="00661824">
      <w:pPr>
        <w:pStyle w:val="Normal0"/>
        <w:spacing w:after="120"/>
        <w:jc w:val="both"/>
        <w:rPr>
          <w:color w:val="000000"/>
          <w:sz w:val="22"/>
          <w:szCs w:val="22"/>
        </w:rPr>
      </w:pPr>
      <w:r w:rsidRPr="00671372">
        <w:rPr>
          <w:color w:val="000000"/>
          <w:sz w:val="22"/>
          <w:szCs w:val="22"/>
        </w:rPr>
        <w:t xml:space="preserve">The Company’s balance sheet reflects cash and marketable securities </w:t>
      </w:r>
      <w:r w:rsidRPr="00671372">
        <w:rPr>
          <w:sz w:val="22"/>
          <w:szCs w:val="22"/>
        </w:rPr>
        <w:t>of $</w:t>
      </w:r>
      <w:r w:rsidR="00671372" w:rsidRPr="00671372">
        <w:rPr>
          <w:sz w:val="22"/>
          <w:szCs w:val="22"/>
        </w:rPr>
        <w:t>39</w:t>
      </w:r>
      <w:r w:rsidRPr="00671372">
        <w:rPr>
          <w:sz w:val="22"/>
          <w:szCs w:val="22"/>
        </w:rPr>
        <w:t>.</w:t>
      </w:r>
      <w:r w:rsidR="00671372" w:rsidRPr="00671372">
        <w:rPr>
          <w:sz w:val="22"/>
          <w:szCs w:val="22"/>
        </w:rPr>
        <w:t>4</w:t>
      </w:r>
      <w:r w:rsidRPr="00671372">
        <w:rPr>
          <w:sz w:val="22"/>
          <w:szCs w:val="22"/>
        </w:rPr>
        <w:t xml:space="preserve"> </w:t>
      </w:r>
      <w:r w:rsidRPr="00671372">
        <w:rPr>
          <w:color w:val="000000"/>
          <w:sz w:val="22"/>
          <w:szCs w:val="22"/>
        </w:rPr>
        <w:t xml:space="preserve">million, </w:t>
      </w:r>
      <w:r w:rsidRPr="00000B37">
        <w:rPr>
          <w:color w:val="000000"/>
          <w:sz w:val="22"/>
          <w:szCs w:val="22"/>
        </w:rPr>
        <w:t>$</w:t>
      </w:r>
      <w:r w:rsidR="00000B37" w:rsidRPr="00000B37">
        <w:rPr>
          <w:color w:val="000000"/>
          <w:sz w:val="22"/>
          <w:szCs w:val="22"/>
        </w:rPr>
        <w:t>0</w:t>
      </w:r>
      <w:r w:rsidR="00B105C6" w:rsidRPr="00000B37">
        <w:rPr>
          <w:color w:val="000000"/>
          <w:sz w:val="22"/>
          <w:szCs w:val="22"/>
        </w:rPr>
        <w:t>.</w:t>
      </w:r>
      <w:r w:rsidR="00000B37" w:rsidRPr="00000B37">
        <w:rPr>
          <w:color w:val="000000"/>
          <w:sz w:val="22"/>
          <w:szCs w:val="22"/>
        </w:rPr>
        <w:t>9</w:t>
      </w:r>
      <w:r w:rsidRPr="00000B37">
        <w:rPr>
          <w:color w:val="000000"/>
          <w:sz w:val="22"/>
          <w:szCs w:val="22"/>
        </w:rPr>
        <w:t xml:space="preserve"> million of which relate to our </w:t>
      </w:r>
      <w:r w:rsidR="00B105C6" w:rsidRPr="00000B37">
        <w:rPr>
          <w:color w:val="000000"/>
          <w:sz w:val="22"/>
          <w:szCs w:val="22"/>
        </w:rPr>
        <w:t xml:space="preserve">1,288,620 shares of </w:t>
      </w:r>
      <w:r w:rsidRPr="00000B37">
        <w:rPr>
          <w:color w:val="000000"/>
          <w:sz w:val="22"/>
          <w:szCs w:val="22"/>
        </w:rPr>
        <w:t>IronNet, Inc. (IRNT), and</w:t>
      </w:r>
      <w:r w:rsidRPr="00671372">
        <w:rPr>
          <w:color w:val="000000"/>
          <w:sz w:val="22"/>
          <w:szCs w:val="22"/>
        </w:rPr>
        <w:t xml:space="preserve"> total net working capital of $</w:t>
      </w:r>
      <w:r w:rsidR="00671372" w:rsidRPr="00671372">
        <w:rPr>
          <w:color w:val="000000"/>
          <w:sz w:val="22"/>
          <w:szCs w:val="22"/>
        </w:rPr>
        <w:t>47</w:t>
      </w:r>
      <w:r w:rsidR="00B105C6" w:rsidRPr="00671372">
        <w:rPr>
          <w:color w:val="000000"/>
          <w:sz w:val="22"/>
          <w:szCs w:val="22"/>
        </w:rPr>
        <w:t>.</w:t>
      </w:r>
      <w:r w:rsidR="00FD3ED3">
        <w:rPr>
          <w:color w:val="000000"/>
          <w:sz w:val="22"/>
          <w:szCs w:val="22"/>
        </w:rPr>
        <w:t>7</w:t>
      </w:r>
      <w:r w:rsidR="00FD3ED3" w:rsidRPr="00671372">
        <w:rPr>
          <w:color w:val="000000"/>
          <w:sz w:val="22"/>
          <w:szCs w:val="22"/>
        </w:rPr>
        <w:t xml:space="preserve"> </w:t>
      </w:r>
      <w:r w:rsidRPr="00671372">
        <w:rPr>
          <w:color w:val="000000"/>
          <w:sz w:val="22"/>
          <w:szCs w:val="22"/>
        </w:rPr>
        <w:t xml:space="preserve">million at </w:t>
      </w:r>
      <w:r w:rsidR="00671372">
        <w:rPr>
          <w:color w:val="000000"/>
          <w:sz w:val="22"/>
          <w:szCs w:val="22"/>
        </w:rPr>
        <w:t>September</w:t>
      </w:r>
      <w:r w:rsidR="00B105C6" w:rsidRPr="00671372">
        <w:rPr>
          <w:color w:val="000000"/>
          <w:sz w:val="22"/>
          <w:szCs w:val="22"/>
        </w:rPr>
        <w:t xml:space="preserve"> 30</w:t>
      </w:r>
      <w:r w:rsidRPr="00671372">
        <w:rPr>
          <w:color w:val="000000"/>
          <w:sz w:val="22"/>
          <w:szCs w:val="22"/>
        </w:rPr>
        <w:t xml:space="preserve">, 2022. </w:t>
      </w:r>
      <w:r w:rsidR="00CB44A7" w:rsidRPr="00671372">
        <w:rPr>
          <w:color w:val="000000"/>
          <w:sz w:val="22"/>
          <w:szCs w:val="22"/>
        </w:rPr>
        <w:t xml:space="preserve">This compares to </w:t>
      </w:r>
      <w:r w:rsidR="00FD3ED3">
        <w:rPr>
          <w:color w:val="000000"/>
          <w:sz w:val="22"/>
          <w:szCs w:val="22"/>
        </w:rPr>
        <w:t xml:space="preserve">cash and </w:t>
      </w:r>
      <w:r w:rsidR="00CB44A7" w:rsidRPr="00671372">
        <w:rPr>
          <w:color w:val="000000"/>
          <w:sz w:val="22"/>
          <w:szCs w:val="22"/>
        </w:rPr>
        <w:t xml:space="preserve">marketable securities </w:t>
      </w:r>
      <w:r w:rsidR="00CB44A7" w:rsidRPr="00671372">
        <w:rPr>
          <w:sz w:val="22"/>
          <w:szCs w:val="22"/>
        </w:rPr>
        <w:t xml:space="preserve">of $45.2 </w:t>
      </w:r>
      <w:r w:rsidR="00CB44A7" w:rsidRPr="00671372">
        <w:rPr>
          <w:color w:val="000000"/>
          <w:sz w:val="22"/>
          <w:szCs w:val="22"/>
        </w:rPr>
        <w:t xml:space="preserve">million, and total net working capital of $51.4 million at </w:t>
      </w:r>
      <w:r w:rsidR="00CB44A7" w:rsidRPr="00671372">
        <w:rPr>
          <w:sz w:val="22"/>
          <w:szCs w:val="22"/>
        </w:rPr>
        <w:t xml:space="preserve">December 31, </w:t>
      </w:r>
      <w:r w:rsidR="00CB44A7" w:rsidRPr="00AE0B7A">
        <w:rPr>
          <w:sz w:val="22"/>
          <w:szCs w:val="22"/>
        </w:rPr>
        <w:t>2021</w:t>
      </w:r>
      <w:r w:rsidR="00CB44A7" w:rsidRPr="00AE0B7A">
        <w:rPr>
          <w:color w:val="000000"/>
          <w:sz w:val="22"/>
          <w:szCs w:val="22"/>
        </w:rPr>
        <w:t xml:space="preserve">. </w:t>
      </w:r>
      <w:r w:rsidRPr="00AE0B7A">
        <w:rPr>
          <w:color w:val="000000"/>
          <w:sz w:val="22"/>
          <w:szCs w:val="22"/>
        </w:rPr>
        <w:t>Total inventory was $</w:t>
      </w:r>
      <w:r w:rsidR="00671372" w:rsidRPr="00AE0B7A">
        <w:rPr>
          <w:color w:val="000000"/>
          <w:sz w:val="22"/>
          <w:szCs w:val="22"/>
        </w:rPr>
        <w:t>7</w:t>
      </w:r>
      <w:r w:rsidR="00B105C6" w:rsidRPr="00AE0B7A">
        <w:rPr>
          <w:color w:val="000000"/>
          <w:sz w:val="22"/>
          <w:szCs w:val="22"/>
        </w:rPr>
        <w:t>.</w:t>
      </w:r>
      <w:r w:rsidR="00671372" w:rsidRPr="00AE0B7A">
        <w:rPr>
          <w:color w:val="000000"/>
          <w:sz w:val="22"/>
          <w:szCs w:val="22"/>
        </w:rPr>
        <w:t>6</w:t>
      </w:r>
      <w:r w:rsidRPr="00AE0B7A">
        <w:rPr>
          <w:color w:val="000000"/>
          <w:sz w:val="22"/>
          <w:szCs w:val="22"/>
        </w:rPr>
        <w:t xml:space="preserve"> million, including </w:t>
      </w:r>
      <w:r w:rsidR="005E7620" w:rsidRPr="00AE0B7A">
        <w:rPr>
          <w:color w:val="000000"/>
          <w:sz w:val="22"/>
          <w:szCs w:val="22"/>
        </w:rPr>
        <w:t>$</w:t>
      </w:r>
      <w:r w:rsidR="00AE0B7A" w:rsidRPr="00AE0B7A">
        <w:rPr>
          <w:color w:val="000000"/>
          <w:sz w:val="22"/>
          <w:szCs w:val="22"/>
        </w:rPr>
        <w:t>3</w:t>
      </w:r>
      <w:r w:rsidR="00B105C6" w:rsidRPr="00AE0B7A">
        <w:rPr>
          <w:color w:val="000000"/>
          <w:sz w:val="22"/>
          <w:szCs w:val="22"/>
        </w:rPr>
        <w:t>.</w:t>
      </w:r>
      <w:r w:rsidR="00AE0B7A" w:rsidRPr="00AE0B7A">
        <w:rPr>
          <w:color w:val="000000"/>
          <w:sz w:val="22"/>
          <w:szCs w:val="22"/>
        </w:rPr>
        <w:t>7</w:t>
      </w:r>
      <w:r w:rsidR="005E7620" w:rsidRPr="00AE0B7A">
        <w:rPr>
          <w:color w:val="000000"/>
          <w:sz w:val="22"/>
          <w:szCs w:val="22"/>
        </w:rPr>
        <w:t xml:space="preserve"> million of raw materials, </w:t>
      </w:r>
      <w:r w:rsidRPr="00AE0B7A">
        <w:rPr>
          <w:sz w:val="22"/>
          <w:szCs w:val="22"/>
        </w:rPr>
        <w:t>$2.</w:t>
      </w:r>
      <w:r w:rsidR="00B105C6" w:rsidRPr="00AE0B7A">
        <w:rPr>
          <w:sz w:val="22"/>
          <w:szCs w:val="22"/>
        </w:rPr>
        <w:t>7</w:t>
      </w:r>
      <w:r w:rsidRPr="00AE0B7A">
        <w:rPr>
          <w:sz w:val="22"/>
          <w:szCs w:val="22"/>
        </w:rPr>
        <w:t xml:space="preserve"> million of WIP</w:t>
      </w:r>
      <w:r w:rsidR="005E7620" w:rsidRPr="00AE0B7A">
        <w:rPr>
          <w:sz w:val="22"/>
          <w:szCs w:val="22"/>
        </w:rPr>
        <w:t>, and $</w:t>
      </w:r>
      <w:r w:rsidR="00AE0B7A" w:rsidRPr="00AE0B7A">
        <w:rPr>
          <w:sz w:val="22"/>
          <w:szCs w:val="22"/>
        </w:rPr>
        <w:t>1.2 million</w:t>
      </w:r>
      <w:r w:rsidR="005E7620" w:rsidRPr="00AE0B7A">
        <w:rPr>
          <w:sz w:val="22"/>
          <w:szCs w:val="22"/>
        </w:rPr>
        <w:t xml:space="preserve"> of finished goods</w:t>
      </w:r>
      <w:r w:rsidR="00CB44A7" w:rsidRPr="00AE0B7A">
        <w:rPr>
          <w:sz w:val="22"/>
          <w:szCs w:val="22"/>
        </w:rPr>
        <w:t>, up $</w:t>
      </w:r>
      <w:r w:rsidR="00AE0B7A" w:rsidRPr="00AE0B7A">
        <w:rPr>
          <w:sz w:val="22"/>
          <w:szCs w:val="22"/>
        </w:rPr>
        <w:t>2.1 million</w:t>
      </w:r>
      <w:r w:rsidR="00CB44A7" w:rsidRPr="00AE0B7A">
        <w:rPr>
          <w:sz w:val="22"/>
          <w:szCs w:val="22"/>
        </w:rPr>
        <w:t xml:space="preserve"> from inventory of $5.5 million as of December 31, 2021</w:t>
      </w:r>
      <w:r w:rsidRPr="00AE0B7A">
        <w:rPr>
          <w:color w:val="000000"/>
          <w:sz w:val="22"/>
          <w:szCs w:val="22"/>
        </w:rPr>
        <w:t xml:space="preserve">. </w:t>
      </w:r>
    </w:p>
    <w:p w14:paraId="227911D6" w14:textId="77777777" w:rsidR="0041202D" w:rsidRPr="00414485" w:rsidRDefault="00000000" w:rsidP="0041202D">
      <w:pPr>
        <w:pStyle w:val="Normal0"/>
        <w:jc w:val="both"/>
        <w:rPr>
          <w:sz w:val="22"/>
          <w:szCs w:val="22"/>
        </w:rPr>
      </w:pPr>
      <w:r>
        <w:rPr>
          <w:color w:val="000000"/>
          <w:sz w:val="22"/>
          <w:szCs w:val="22"/>
        </w:rPr>
        <w:t>Since inception and a</w:t>
      </w:r>
      <w:r w:rsidRPr="005D6518">
        <w:rPr>
          <w:color w:val="000000"/>
          <w:sz w:val="22"/>
          <w:szCs w:val="22"/>
        </w:rPr>
        <w:t xml:space="preserve">s </w:t>
      </w:r>
      <w:r w:rsidR="00CB44A7" w:rsidRPr="005D6518">
        <w:rPr>
          <w:color w:val="000000"/>
          <w:sz w:val="22"/>
          <w:szCs w:val="22"/>
        </w:rPr>
        <w:t xml:space="preserve">of </w:t>
      </w:r>
      <w:r w:rsidR="005D6518" w:rsidRPr="005D6518">
        <w:rPr>
          <w:color w:val="000000"/>
          <w:sz w:val="22"/>
          <w:szCs w:val="22"/>
        </w:rPr>
        <w:t>September</w:t>
      </w:r>
      <w:r w:rsidR="00CB44A7" w:rsidRPr="005D6518">
        <w:rPr>
          <w:color w:val="000000"/>
          <w:sz w:val="22"/>
          <w:szCs w:val="22"/>
        </w:rPr>
        <w:t xml:space="preserve"> 30, 2022</w:t>
      </w:r>
      <w:r w:rsidR="00634F69" w:rsidRPr="005D6518">
        <w:rPr>
          <w:color w:val="000000"/>
          <w:sz w:val="22"/>
          <w:szCs w:val="22"/>
        </w:rPr>
        <w:t xml:space="preserve">, the Company has </w:t>
      </w:r>
      <w:r w:rsidR="00634F69" w:rsidRPr="00C91E06">
        <w:rPr>
          <w:color w:val="000000"/>
          <w:sz w:val="22"/>
          <w:szCs w:val="22"/>
        </w:rPr>
        <w:t>disposed of 1,555,315 of its 2,843,935 shares of IRNT common stock and received related proceeds of approximately $20.2 million</w:t>
      </w:r>
      <w:r w:rsidRPr="00C91E06">
        <w:rPr>
          <w:color w:val="000000"/>
          <w:sz w:val="22"/>
          <w:szCs w:val="22"/>
        </w:rPr>
        <w:t>.</w:t>
      </w:r>
    </w:p>
    <w:p w14:paraId="19ADF897" w14:textId="77777777" w:rsidR="0006424D" w:rsidRPr="005D6518" w:rsidRDefault="00000000" w:rsidP="0081031B">
      <w:pPr>
        <w:pStyle w:val="Normal0"/>
        <w:keepNext/>
        <w:spacing w:before="240" w:after="120"/>
        <w:jc w:val="both"/>
        <w:rPr>
          <w:b/>
          <w:bCs/>
          <w:sz w:val="22"/>
          <w:szCs w:val="22"/>
        </w:rPr>
      </w:pPr>
      <w:r w:rsidRPr="00537693">
        <w:rPr>
          <w:b/>
          <w:bCs/>
          <w:sz w:val="22"/>
          <w:szCs w:val="22"/>
        </w:rPr>
        <w:t>SPIN-OFF</w:t>
      </w:r>
    </w:p>
    <w:p w14:paraId="42267506" w14:textId="77777777" w:rsidR="005D6518" w:rsidRPr="005D6518" w:rsidRDefault="00000000" w:rsidP="005D6518">
      <w:pPr>
        <w:pStyle w:val="Normal0"/>
        <w:spacing w:before="120"/>
        <w:jc w:val="both"/>
        <w:rPr>
          <w:sz w:val="22"/>
          <w:szCs w:val="22"/>
        </w:rPr>
      </w:pPr>
      <w:r w:rsidRPr="005D6518">
        <w:rPr>
          <w:sz w:val="22"/>
          <w:szCs w:val="22"/>
        </w:rPr>
        <w:t>On August 3, 2022, LGL announced that its Board of Directors approved the previously announced separation of the M-tron Industries, Inc. (</w:t>
      </w:r>
      <w:r w:rsidR="00C91E06">
        <w:rPr>
          <w:sz w:val="22"/>
          <w:szCs w:val="22"/>
        </w:rPr>
        <w:t xml:space="preserve">subsequently defined in </w:t>
      </w:r>
      <w:r w:rsidR="00C91E06" w:rsidRPr="00C91E06">
        <w:rPr>
          <w:i/>
          <w:iCs/>
          <w:sz w:val="22"/>
          <w:szCs w:val="22"/>
        </w:rPr>
        <w:t>“About the LGL Group Inc.”</w:t>
      </w:r>
      <w:r w:rsidR="00C91E06">
        <w:rPr>
          <w:sz w:val="22"/>
          <w:szCs w:val="22"/>
        </w:rPr>
        <w:t xml:space="preserve"> as </w:t>
      </w:r>
      <w:r w:rsidRPr="005D6518">
        <w:rPr>
          <w:sz w:val="22"/>
          <w:szCs w:val="22"/>
        </w:rPr>
        <w:t>“MtronPTI”) business into an independent, publicly traded company (the "Separation"). Prior to the Separation, LGL Group operated its electronic instruments business segment through its wholly-owned subsidiary, Precise Time and Frequency (“PTF”) and its electronic components business segment through MtronPTI.</w:t>
      </w:r>
    </w:p>
    <w:p w14:paraId="58643B8C" w14:textId="77777777" w:rsidR="005D6518" w:rsidRPr="005D6518" w:rsidRDefault="00000000" w:rsidP="005D6518">
      <w:pPr>
        <w:pStyle w:val="Normal0"/>
        <w:spacing w:before="120"/>
        <w:jc w:val="both"/>
        <w:rPr>
          <w:sz w:val="22"/>
          <w:szCs w:val="22"/>
        </w:rPr>
      </w:pPr>
      <w:r w:rsidRPr="005D6518">
        <w:rPr>
          <w:sz w:val="22"/>
          <w:szCs w:val="22"/>
        </w:rPr>
        <w:t>On October 7, 2022 the Separation of the MtronPTI business was completed and MtronPTI became an independent, publicly-traded company trading on the NYSE American under the stock symbol "MPTI."</w:t>
      </w:r>
    </w:p>
    <w:p w14:paraId="184D57EF" w14:textId="77777777" w:rsidR="005D6518" w:rsidRPr="005D6518" w:rsidRDefault="00000000" w:rsidP="005D6518">
      <w:pPr>
        <w:pStyle w:val="LeftBoldHead"/>
        <w:spacing w:before="120" w:after="0"/>
        <w:jc w:val="both"/>
        <w:rPr>
          <w:b w:val="0"/>
          <w:sz w:val="22"/>
          <w:szCs w:val="22"/>
        </w:rPr>
      </w:pPr>
      <w:r w:rsidRPr="005D6518">
        <w:rPr>
          <w:b w:val="0"/>
          <w:sz w:val="22"/>
          <w:szCs w:val="22"/>
        </w:rPr>
        <w:t xml:space="preserve">The Separation was achieved through the Parent’s distribution (the “Distribution”) of 100% of the shares of </w:t>
      </w:r>
      <w:r w:rsidR="000A2BD3">
        <w:rPr>
          <w:b w:val="0"/>
          <w:sz w:val="22"/>
          <w:szCs w:val="22"/>
        </w:rPr>
        <w:t>MtronPTI</w:t>
      </w:r>
      <w:r w:rsidRPr="005D6518">
        <w:rPr>
          <w:b w:val="0"/>
          <w:sz w:val="22"/>
          <w:szCs w:val="22"/>
        </w:rPr>
        <w:t xml:space="preserve">'s common stock to holders of LGL's common stock as of the close of business on the record date of </w:t>
      </w:r>
      <w:r w:rsidR="000A2BD3">
        <w:rPr>
          <w:b w:val="0"/>
          <w:sz w:val="22"/>
          <w:szCs w:val="22"/>
        </w:rPr>
        <w:t>September 30</w:t>
      </w:r>
      <w:r w:rsidRPr="005D6518">
        <w:rPr>
          <w:b w:val="0"/>
          <w:sz w:val="22"/>
          <w:szCs w:val="22"/>
        </w:rPr>
        <w:t xml:space="preserve">, 2022. LGL's stockholders of record received one-half share of </w:t>
      </w:r>
      <w:r w:rsidR="000A2BD3">
        <w:rPr>
          <w:b w:val="0"/>
          <w:sz w:val="22"/>
          <w:szCs w:val="22"/>
        </w:rPr>
        <w:t>MtronPTI</w:t>
      </w:r>
      <w:r w:rsidRPr="005D6518">
        <w:rPr>
          <w:b w:val="0"/>
          <w:sz w:val="22"/>
          <w:szCs w:val="22"/>
        </w:rPr>
        <w:t>'s common stock for every share of LGL's common stock. In connection with the Separation, the MtronPTI wrote off $4,439,000 of intercompany receivables due from LGL, which brought intercompany balances to zero. LGL retained no ownership interest in the MtronPTI business following the Separation. Spin-Off costs were $</w:t>
      </w:r>
      <w:r w:rsidR="000A2BD3">
        <w:rPr>
          <w:b w:val="0"/>
          <w:sz w:val="22"/>
          <w:szCs w:val="22"/>
        </w:rPr>
        <w:t>232</w:t>
      </w:r>
      <w:r w:rsidRPr="005D6518">
        <w:rPr>
          <w:b w:val="0"/>
          <w:sz w:val="22"/>
          <w:szCs w:val="22"/>
        </w:rPr>
        <w:t>,000 and $575,000 for the three and nine months ended September 30, 2022, respectively. Beginning in the fourth quarter of 2022, the historical financial results of the MtronPTI business for periods prior to the Distribution Date along with the related direct costs of the Spin-Off will be reflected in the Company’s consolidated financial statements as discontinued operations.</w:t>
      </w:r>
    </w:p>
    <w:p w14:paraId="6A3318C7" w14:textId="77777777" w:rsidR="005D6518" w:rsidRDefault="005D6518" w:rsidP="00AF5AA4">
      <w:pPr>
        <w:pStyle w:val="Normal0"/>
        <w:spacing w:before="120" w:after="120"/>
        <w:jc w:val="both"/>
        <w:rPr>
          <w:sz w:val="22"/>
          <w:szCs w:val="22"/>
        </w:rPr>
      </w:pPr>
    </w:p>
    <w:p w14:paraId="454A89E5" w14:textId="77777777" w:rsidR="00A80CFA" w:rsidRPr="00D61396" w:rsidRDefault="00000000" w:rsidP="00760E6C">
      <w:pPr>
        <w:pStyle w:val="Normal0"/>
        <w:keepNext/>
        <w:keepLines/>
        <w:rPr>
          <w:b/>
          <w:bCs/>
          <w:sz w:val="22"/>
          <w:szCs w:val="22"/>
        </w:rPr>
      </w:pPr>
      <w:r w:rsidRPr="00D61396">
        <w:rPr>
          <w:b/>
          <w:bCs/>
          <w:sz w:val="22"/>
          <w:szCs w:val="22"/>
        </w:rPr>
        <w:lastRenderedPageBreak/>
        <w:t>About The LGL Group, Inc.</w:t>
      </w:r>
    </w:p>
    <w:p w14:paraId="5798FCD8" w14:textId="77777777" w:rsidR="00517F1B" w:rsidRPr="00D61396" w:rsidRDefault="00517F1B" w:rsidP="00760E6C">
      <w:pPr>
        <w:pStyle w:val="BodyText2"/>
        <w:keepNext/>
        <w:keepLines/>
        <w:autoSpaceDE w:val="0"/>
        <w:autoSpaceDN w:val="0"/>
        <w:adjustRightInd w:val="0"/>
        <w:jc w:val="left"/>
        <w:rPr>
          <w:bCs/>
          <w:sz w:val="22"/>
          <w:szCs w:val="22"/>
        </w:rPr>
      </w:pPr>
    </w:p>
    <w:p w14:paraId="2328BE77" w14:textId="77777777" w:rsidR="0063399B" w:rsidRPr="0063399B" w:rsidRDefault="00000000" w:rsidP="0063399B">
      <w:pPr>
        <w:pStyle w:val="Normal0"/>
        <w:spacing w:after="120"/>
        <w:jc w:val="both"/>
        <w:rPr>
          <w:sz w:val="22"/>
          <w:szCs w:val="22"/>
        </w:rPr>
      </w:pPr>
      <w:r w:rsidRPr="0063399B">
        <w:rPr>
          <w:sz w:val="22"/>
          <w:szCs w:val="22"/>
        </w:rPr>
        <w:t xml:space="preserve">LGL’s business strategy is primarily focused on growth through expanding new and existing operations across all industries, including the </w:t>
      </w:r>
      <w:r w:rsidR="008A50FF">
        <w:rPr>
          <w:sz w:val="22"/>
          <w:szCs w:val="22"/>
        </w:rPr>
        <w:t>C</w:t>
      </w:r>
      <w:r w:rsidRPr="0063399B">
        <w:rPr>
          <w:sz w:val="22"/>
          <w:szCs w:val="22"/>
        </w:rPr>
        <w:t xml:space="preserve">ompany’s wholly owned Precise Time and Frequency Corporation (PTF) based in Wakefield Massachusetts. The LGL Group Inc.'s engineering and design origins date back to the early part of the last century. In 1917, Lynch Glass Machinery Company, the predecessor of LGL, was formed, and emerged in the late twenties as a successful manufacturer of glass-forming machinery. The company was then renamed Lynch Corporation, and was incorporated in 1928, under the laws of the State of Indiana. In 1946, Lynch was listed on the “New York Curb Exchange,” the predecessor to the NYSE </w:t>
      </w:r>
      <w:r w:rsidR="00AF5AA4">
        <w:rPr>
          <w:sz w:val="22"/>
          <w:szCs w:val="22"/>
        </w:rPr>
        <w:t>American</w:t>
      </w:r>
      <w:r w:rsidRPr="0063399B">
        <w:rPr>
          <w:sz w:val="22"/>
          <w:szCs w:val="22"/>
        </w:rPr>
        <w:t xml:space="preserve">. The company has had a long history of owning and operating various businesses in the precision engineering, manufacturing and services sectors. </w:t>
      </w:r>
    </w:p>
    <w:p w14:paraId="6D1FA675" w14:textId="77777777" w:rsidR="0063399B" w:rsidRPr="0063399B" w:rsidRDefault="00000000" w:rsidP="0063399B">
      <w:pPr>
        <w:pStyle w:val="Normal0"/>
        <w:spacing w:after="120"/>
        <w:jc w:val="both"/>
        <w:rPr>
          <w:sz w:val="22"/>
          <w:szCs w:val="22"/>
        </w:rPr>
      </w:pPr>
      <w:r w:rsidRPr="0063399B">
        <w:rPr>
          <w:sz w:val="22"/>
          <w:szCs w:val="22"/>
        </w:rPr>
        <w:t>Precise Time and Frequency (PTF) was founded in 2002 and offers customers frequency reference and time standard synchronization solutions tailored to meeting performance requirements.</w:t>
      </w:r>
      <w:r w:rsidR="00AF5AA4">
        <w:rPr>
          <w:sz w:val="22"/>
          <w:szCs w:val="22"/>
        </w:rPr>
        <w:t xml:space="preserve"> </w:t>
      </w:r>
      <w:r w:rsidRPr="0063399B">
        <w:rPr>
          <w:sz w:val="22"/>
          <w:szCs w:val="22"/>
        </w:rPr>
        <w:t xml:space="preserve">PTF is housed in a well-equipped, modern, facility and staffed by a highly dedicated and experienced team of time and frequency professionals. Although the company offers a wide range of standard instruments and options, new requirements are enthusiastically embraced, resulting in an </w:t>
      </w:r>
      <w:r w:rsidR="00C72598" w:rsidRPr="0063399B">
        <w:rPr>
          <w:sz w:val="22"/>
          <w:szCs w:val="22"/>
        </w:rPr>
        <w:t>ever-expanding</w:t>
      </w:r>
      <w:r w:rsidRPr="0063399B">
        <w:rPr>
          <w:sz w:val="22"/>
          <w:szCs w:val="22"/>
        </w:rPr>
        <w:t xml:space="preserve"> capability. Products include NTP Servers, broadband amplifiers, RF distribution, 1PPS distribution, and fiber optic distribution. The company has developed a comprehensive portfolio of time and frequency instrumentation including frequency standards, time standards, and time code generators, complemented by a wide range of ancillary products such as RF distribution amplifiers, Digital distribution amplifiers, Time Code distribution amplifiers, and redundancy switches. Thousands of instruments have been delivered to a broad range of applications worldwide, from simple network time servers to synchronize local computers and instruments, to fully redundant and highly sophisticated Satellite Communications and Broadcast systems. Military applications include synchronization of mobile Satcom terminals, high performance sources for calibration, a unique SAASM solution, and test equipment providing the ultimate in frequency stability and phase noise performance.</w:t>
      </w:r>
    </w:p>
    <w:p w14:paraId="7241BE6D" w14:textId="77777777" w:rsidR="0063399B" w:rsidRPr="0063399B" w:rsidRDefault="00000000" w:rsidP="0063399B">
      <w:pPr>
        <w:pStyle w:val="Normal0"/>
        <w:spacing w:after="120"/>
        <w:jc w:val="both"/>
        <w:rPr>
          <w:sz w:val="22"/>
          <w:szCs w:val="22"/>
        </w:rPr>
      </w:pPr>
      <w:r w:rsidRPr="0063399B">
        <w:rPr>
          <w:sz w:val="22"/>
          <w:szCs w:val="22"/>
        </w:rPr>
        <w:t>M-tron Industries, Inc. (“Mtron”) was originally founded in 1965 as Mechtronics Industries, Inc. Shortly thereafter, the name was formally changed to M-tron Industries, Inc. The primary business of Mtron during the early years was building crystals for the CB radio market. When technology changed in the late 1970s, so did Mtron. A change in marketing approach and continued development of products provided new life for the company. Mtron became known as a supplier of high quality, high reliability crystal, oscillator, and to some degree, VCXO (Voltage Controlled Crystal Oscillator) and TCXO (Temperature Compensated Crystal Oscillator) products which would be used in applications such as telecommunication infrastructure used to make phone systems and later on, the internet function. In 1976, M-tron Industries, Inc. was acquired. In 2002, Mtron acquired the assets of Champion Technologies, Inc. of Franklin Park, Illinois. Champion was a spin-off of Motorola during the mid-1980s. This acquisition helped Mtron recover more quickly from the telecom market collapse of 2001 and 2002 by expanding product offering, as well as customer base.</w:t>
      </w:r>
    </w:p>
    <w:p w14:paraId="5F335967" w14:textId="77777777" w:rsidR="0063399B" w:rsidRPr="0063399B" w:rsidRDefault="00000000" w:rsidP="0063399B">
      <w:pPr>
        <w:pStyle w:val="Normal0"/>
        <w:jc w:val="both"/>
        <w:rPr>
          <w:sz w:val="22"/>
          <w:szCs w:val="22"/>
        </w:rPr>
      </w:pPr>
      <w:r w:rsidRPr="0063399B">
        <w:rPr>
          <w:sz w:val="22"/>
          <w:szCs w:val="22"/>
        </w:rPr>
        <w:t>In 1965, at nearly the same time that Mtron was established, another company was organized, known as Piezo Technology, Inc.</w:t>
      </w:r>
      <w:r w:rsidR="00AF5AA4">
        <w:rPr>
          <w:sz w:val="22"/>
          <w:szCs w:val="22"/>
        </w:rPr>
        <w:t xml:space="preserve"> (“PTI”).</w:t>
      </w:r>
      <w:r w:rsidRPr="0063399B">
        <w:rPr>
          <w:sz w:val="22"/>
          <w:szCs w:val="22"/>
        </w:rPr>
        <w:t xml:space="preserve"> PTI was organized for the purpose of designing and building crystal filters used in all types of equipment where certain types of noise need to be filtered out of a circuit. PTI grew over the years in both business and products to include LC (Lumped Element) filters, TCXO and OCXO (Oven Controlled Crystal Oscillator) products. Primary markets for PTI were Military, Avionics and Instrumentation. In 1995 PTI opened a manufacturing location in India and in 2004 M-tron Industries, Inc. acquired Piezo Technology, Inc.</w:t>
      </w:r>
    </w:p>
    <w:p w14:paraId="4FF99D5B" w14:textId="77777777" w:rsidR="0063399B" w:rsidRPr="0063399B" w:rsidRDefault="0063399B" w:rsidP="0063399B">
      <w:pPr>
        <w:pStyle w:val="Normal0"/>
        <w:jc w:val="both"/>
        <w:rPr>
          <w:sz w:val="22"/>
          <w:szCs w:val="22"/>
        </w:rPr>
      </w:pPr>
    </w:p>
    <w:p w14:paraId="36169D34" w14:textId="77777777" w:rsidR="0063399B" w:rsidRPr="0063399B" w:rsidRDefault="00000000" w:rsidP="0063399B">
      <w:pPr>
        <w:pStyle w:val="Normal0"/>
        <w:jc w:val="both"/>
        <w:rPr>
          <w:rFonts w:ascii="Open Sans" w:hAnsi="Open Sans"/>
          <w:color w:val="333333"/>
          <w:sz w:val="22"/>
          <w:szCs w:val="22"/>
        </w:rPr>
      </w:pPr>
      <w:r w:rsidRPr="0063399B">
        <w:rPr>
          <w:sz w:val="22"/>
          <w:szCs w:val="22"/>
        </w:rPr>
        <w:t>The combined operations of Mtron and PTI are referred to as “MtronPTI”</w:t>
      </w:r>
      <w:r w:rsidR="00AF5AA4">
        <w:rPr>
          <w:sz w:val="22"/>
          <w:szCs w:val="22"/>
        </w:rPr>
        <w:t>, and are headquartered</w:t>
      </w:r>
      <w:r w:rsidR="00AF5AA4" w:rsidRPr="0063399B">
        <w:rPr>
          <w:sz w:val="22"/>
          <w:szCs w:val="22"/>
        </w:rPr>
        <w:t xml:space="preserve"> in Orlando, Florida</w:t>
      </w:r>
      <w:r w:rsidR="00AF5AA4">
        <w:rPr>
          <w:sz w:val="22"/>
          <w:szCs w:val="22"/>
        </w:rPr>
        <w:t>.</w:t>
      </w:r>
      <w:r w:rsidRPr="0063399B">
        <w:rPr>
          <w:sz w:val="22"/>
          <w:szCs w:val="22"/>
        </w:rPr>
        <w:t xml:space="preserve"> </w:t>
      </w:r>
      <w:r w:rsidR="00AF5AA4" w:rsidRPr="0063399B">
        <w:rPr>
          <w:sz w:val="22"/>
          <w:szCs w:val="22"/>
        </w:rPr>
        <w:t xml:space="preserve">MtronPTI currently has a global footprint and serves most major markets that require precision timing and filter products. The Company’s target market segments include high-end telecommunications, and military, instrumentation, space and avionics (referred to as “MISA”). </w:t>
      </w:r>
      <w:r w:rsidRPr="0063399B">
        <w:rPr>
          <w:sz w:val="22"/>
          <w:szCs w:val="22"/>
        </w:rPr>
        <w:t>MtronPTI has operations in Orlando, Florida, Yankton, South Dakota and Noida, India. In addition, MtronPTI has sales offices in Hong Kong and Shanghai, China.</w:t>
      </w:r>
      <w:r w:rsidR="00AF5AA4">
        <w:rPr>
          <w:sz w:val="22"/>
          <w:szCs w:val="22"/>
        </w:rPr>
        <w:t xml:space="preserve"> </w:t>
      </w:r>
      <w:r w:rsidR="00AF5AA4" w:rsidRPr="0063399B">
        <w:rPr>
          <w:sz w:val="22"/>
          <w:szCs w:val="22"/>
        </w:rPr>
        <w:t>MtronPTI is currently in the process of being spun off from LGL Group</w:t>
      </w:r>
      <w:r w:rsidR="00AF5AA4">
        <w:rPr>
          <w:sz w:val="22"/>
          <w:szCs w:val="22"/>
        </w:rPr>
        <w:t>,</w:t>
      </w:r>
      <w:r w:rsidR="00AF5AA4" w:rsidRPr="0063399B">
        <w:rPr>
          <w:sz w:val="22"/>
          <w:szCs w:val="22"/>
        </w:rPr>
        <w:t xml:space="preserve"> subject to </w:t>
      </w:r>
      <w:r w:rsidR="00AF5AA4">
        <w:rPr>
          <w:sz w:val="22"/>
          <w:szCs w:val="22"/>
        </w:rPr>
        <w:t>shareholder approval</w:t>
      </w:r>
      <w:r w:rsidR="00AF5AA4" w:rsidRPr="0063399B">
        <w:rPr>
          <w:sz w:val="22"/>
          <w:szCs w:val="22"/>
        </w:rPr>
        <w:t>.</w:t>
      </w:r>
    </w:p>
    <w:p w14:paraId="1C999202" w14:textId="77777777" w:rsidR="00A80CFA" w:rsidRPr="0063399B" w:rsidRDefault="00000000" w:rsidP="00A80CFA">
      <w:pPr>
        <w:pStyle w:val="Normal0"/>
        <w:jc w:val="both"/>
        <w:rPr>
          <w:sz w:val="22"/>
          <w:szCs w:val="22"/>
        </w:rPr>
      </w:pPr>
      <w:r w:rsidRPr="0063399B">
        <w:rPr>
          <w:sz w:val="22"/>
          <w:szCs w:val="22"/>
        </w:rPr>
        <w:t> </w:t>
      </w:r>
    </w:p>
    <w:p w14:paraId="4A832075" w14:textId="77777777" w:rsidR="00A80CFA" w:rsidRPr="0095399E" w:rsidRDefault="00000000" w:rsidP="00A80CFA">
      <w:pPr>
        <w:pStyle w:val="Normal0"/>
        <w:jc w:val="both"/>
        <w:rPr>
          <w:sz w:val="22"/>
          <w:szCs w:val="22"/>
        </w:rPr>
      </w:pPr>
      <w:r w:rsidRPr="00537693">
        <w:rPr>
          <w:sz w:val="22"/>
          <w:szCs w:val="22"/>
        </w:rPr>
        <w:lastRenderedPageBreak/>
        <w:t>For more information on the Company and its products and services, contact</w:t>
      </w:r>
      <w:r w:rsidR="00FD48C3">
        <w:rPr>
          <w:sz w:val="22"/>
          <w:szCs w:val="22"/>
        </w:rPr>
        <w:t xml:space="preserve"> Ivan Arteaga</w:t>
      </w:r>
      <w:r w:rsidRPr="00537693">
        <w:rPr>
          <w:sz w:val="22"/>
          <w:szCs w:val="22"/>
        </w:rPr>
        <w:t xml:space="preserve"> at The LGL Group, Inc., 2525 Shader Rd., Orlando, Florida 32804, (407) 298-2000, or visit </w:t>
      </w:r>
      <w:hyperlink r:id="rId11" w:history="1">
        <w:r w:rsidRPr="00537693">
          <w:rPr>
            <w:rStyle w:val="Hyperlink0"/>
            <w:bCs/>
            <w:sz w:val="22"/>
            <w:szCs w:val="22"/>
          </w:rPr>
          <w:t>www.lglgroup.com</w:t>
        </w:r>
      </w:hyperlink>
      <w:r w:rsidRPr="00537693">
        <w:rPr>
          <w:sz w:val="22"/>
          <w:szCs w:val="22"/>
        </w:rPr>
        <w:t xml:space="preserve"> and </w:t>
      </w:r>
      <w:hyperlink r:id="rId12" w:history="1">
        <w:r w:rsidRPr="00537693">
          <w:rPr>
            <w:rStyle w:val="Hyperlink0"/>
            <w:sz w:val="22"/>
            <w:szCs w:val="22"/>
          </w:rPr>
          <w:t>www.mtronpti.com</w:t>
        </w:r>
      </w:hyperlink>
      <w:r w:rsidRPr="00537693">
        <w:rPr>
          <w:sz w:val="22"/>
          <w:szCs w:val="22"/>
        </w:rPr>
        <w:t>.</w:t>
      </w:r>
    </w:p>
    <w:p w14:paraId="2380F828" w14:textId="77777777" w:rsidR="00365BA3" w:rsidRPr="0095399E" w:rsidRDefault="00365BA3" w:rsidP="00A80CFA">
      <w:pPr>
        <w:pStyle w:val="Normal0"/>
        <w:jc w:val="both"/>
        <w:rPr>
          <w:b/>
          <w:bCs/>
          <w:sz w:val="22"/>
          <w:szCs w:val="22"/>
        </w:rPr>
      </w:pPr>
    </w:p>
    <w:p w14:paraId="25BCCD3B" w14:textId="77777777" w:rsidR="00A80CFA" w:rsidRPr="0095399E" w:rsidRDefault="00000000" w:rsidP="00A80CFA">
      <w:pPr>
        <w:pStyle w:val="Normal0"/>
        <w:jc w:val="both"/>
        <w:rPr>
          <w:b/>
          <w:sz w:val="22"/>
          <w:szCs w:val="22"/>
        </w:rPr>
      </w:pPr>
      <w:r w:rsidRPr="0095399E">
        <w:rPr>
          <w:b/>
          <w:bCs/>
          <w:sz w:val="22"/>
          <w:szCs w:val="22"/>
        </w:rPr>
        <w:t>Caution Concerning Forward Looking Statements</w:t>
      </w:r>
    </w:p>
    <w:p w14:paraId="571A1AD6" w14:textId="77777777" w:rsidR="00A80CFA" w:rsidRPr="0095399E" w:rsidRDefault="00000000" w:rsidP="00A80CFA">
      <w:pPr>
        <w:pStyle w:val="Normal0"/>
        <w:jc w:val="both"/>
        <w:rPr>
          <w:sz w:val="22"/>
          <w:szCs w:val="22"/>
        </w:rPr>
      </w:pPr>
      <w:r w:rsidRPr="0095399E">
        <w:rPr>
          <w:sz w:val="22"/>
          <w:szCs w:val="22"/>
        </w:rPr>
        <w:t> </w:t>
      </w:r>
    </w:p>
    <w:p w14:paraId="1F846BBF" w14:textId="77777777" w:rsidR="00A80CFA" w:rsidRPr="0095399E" w:rsidRDefault="00000000" w:rsidP="00A80CFA">
      <w:pPr>
        <w:pStyle w:val="Normal0"/>
        <w:jc w:val="both"/>
        <w:rPr>
          <w:sz w:val="22"/>
          <w:szCs w:val="22"/>
        </w:rPr>
      </w:pPr>
      <w:r w:rsidRPr="0095399E">
        <w:rPr>
          <w:sz w:val="22"/>
          <w:szCs w:val="22"/>
        </w:rPr>
        <w:t>This press release may contain forward-looking statements made in reliance upon the safe harbor provisions of Section 27A of the Securities Act of 1933, as amended, and Section 21E of the Securities Exchange Act of 1934, as amended.</w:t>
      </w:r>
      <w:r w:rsidR="00EF08B4" w:rsidRPr="0095399E">
        <w:rPr>
          <w:sz w:val="22"/>
          <w:szCs w:val="22"/>
        </w:rPr>
        <w:t xml:space="preserve"> </w:t>
      </w:r>
      <w:r w:rsidRPr="0095399E">
        <w:rPr>
          <w:sz w:val="22"/>
          <w:szCs w:val="22"/>
        </w:rPr>
        <w:t>Forward-looking statements include all statements that do not relate solely to historical or current facts, and can be identified by the use of words such as “may,” “will,” “expect,” “project,” “estimate,” “anticipate,” “plan,” “believe,” “potential,” “should,” “continue” or the negative versions of those words or other comparable words. These forward-looking statements are not guarantees of future actions or performance. These forward-looking statements are based on information currently available to us and our current plans or expectations and are subject to a number of uncertainties and risks that could significantly affect current plans, anticipated actions and our future financial condition and results. Certain of these risks and uncertainties are described in greater detail in our filings with the Securities and Exchange Commission. We are under no obligation to (and expressly disclaim any such obligation to) update or alter our forward-looking statements, whether as a result of new information, future events or otherwise.</w:t>
      </w:r>
    </w:p>
    <w:p w14:paraId="3626365C" w14:textId="77777777" w:rsidR="00A80CFA" w:rsidRPr="0095399E" w:rsidRDefault="00000000" w:rsidP="00A80CFA">
      <w:pPr>
        <w:pStyle w:val="Normal0"/>
        <w:jc w:val="both"/>
        <w:rPr>
          <w:sz w:val="22"/>
          <w:szCs w:val="22"/>
        </w:rPr>
      </w:pPr>
      <w:r w:rsidRPr="0095399E">
        <w:rPr>
          <w:sz w:val="22"/>
          <w:szCs w:val="22"/>
        </w:rPr>
        <w:t> </w:t>
      </w:r>
    </w:p>
    <w:p w14:paraId="73003532" w14:textId="77777777" w:rsidR="00A80CFA" w:rsidRPr="0095399E" w:rsidRDefault="00000000" w:rsidP="00A80CFA">
      <w:pPr>
        <w:pStyle w:val="Normal0"/>
        <w:jc w:val="both"/>
        <w:rPr>
          <w:sz w:val="22"/>
          <w:szCs w:val="22"/>
        </w:rPr>
      </w:pPr>
      <w:r w:rsidRPr="0095399E">
        <w:rPr>
          <w:sz w:val="22"/>
          <w:szCs w:val="22"/>
        </w:rPr>
        <w:t>###</w:t>
      </w:r>
    </w:p>
    <w:p w14:paraId="6A05ADD5" w14:textId="77777777" w:rsidR="00A80CFA" w:rsidRPr="0095399E" w:rsidRDefault="00A80CFA" w:rsidP="00A80CFA">
      <w:pPr>
        <w:pStyle w:val="Normal0"/>
        <w:jc w:val="both"/>
        <w:rPr>
          <w:sz w:val="22"/>
          <w:szCs w:val="22"/>
        </w:rPr>
      </w:pPr>
    </w:p>
    <w:p w14:paraId="76EAA928" w14:textId="77777777" w:rsidR="00A80CFA" w:rsidRPr="0095399E" w:rsidRDefault="00000000" w:rsidP="00A80CFA">
      <w:pPr>
        <w:pStyle w:val="Normal0"/>
        <w:jc w:val="both"/>
        <w:rPr>
          <w:b/>
          <w:sz w:val="22"/>
          <w:szCs w:val="22"/>
        </w:rPr>
      </w:pPr>
      <w:r w:rsidRPr="0095399E">
        <w:rPr>
          <w:b/>
          <w:sz w:val="22"/>
          <w:szCs w:val="22"/>
        </w:rPr>
        <w:t>Contact:</w:t>
      </w:r>
    </w:p>
    <w:p w14:paraId="23684923" w14:textId="77777777" w:rsidR="00A80CFA" w:rsidRPr="0095399E" w:rsidRDefault="00A80CFA" w:rsidP="00A80CFA">
      <w:pPr>
        <w:pStyle w:val="Normal0"/>
        <w:jc w:val="both"/>
        <w:rPr>
          <w:sz w:val="22"/>
          <w:szCs w:val="22"/>
        </w:rPr>
      </w:pPr>
    </w:p>
    <w:p w14:paraId="72CA82E0" w14:textId="77777777" w:rsidR="00026A78" w:rsidRPr="00537693" w:rsidRDefault="00000000" w:rsidP="00A80CFA">
      <w:pPr>
        <w:pStyle w:val="Normal0"/>
        <w:jc w:val="both"/>
        <w:rPr>
          <w:sz w:val="22"/>
          <w:szCs w:val="22"/>
        </w:rPr>
      </w:pPr>
      <w:r>
        <w:rPr>
          <w:sz w:val="22"/>
          <w:szCs w:val="22"/>
        </w:rPr>
        <w:t>Ivan Arteaga</w:t>
      </w:r>
    </w:p>
    <w:p w14:paraId="5E0BD04C" w14:textId="77777777" w:rsidR="00A80CFA" w:rsidRPr="00537693" w:rsidRDefault="00000000" w:rsidP="00A80CFA">
      <w:pPr>
        <w:pStyle w:val="Normal0"/>
        <w:jc w:val="both"/>
        <w:rPr>
          <w:sz w:val="22"/>
          <w:szCs w:val="22"/>
        </w:rPr>
      </w:pPr>
      <w:r w:rsidRPr="00537693">
        <w:rPr>
          <w:sz w:val="22"/>
          <w:szCs w:val="22"/>
        </w:rPr>
        <w:t>The LGL Group, Inc.</w:t>
      </w:r>
    </w:p>
    <w:p w14:paraId="0642D672" w14:textId="77777777" w:rsidR="00A80CFA" w:rsidRPr="00537693" w:rsidRDefault="00000000" w:rsidP="00A80CFA">
      <w:pPr>
        <w:pStyle w:val="Normal0"/>
        <w:jc w:val="both"/>
        <w:rPr>
          <w:sz w:val="22"/>
          <w:szCs w:val="22"/>
        </w:rPr>
      </w:pPr>
      <w:r>
        <w:rPr>
          <w:sz w:val="22"/>
          <w:szCs w:val="22"/>
        </w:rPr>
        <w:t>iarteaga</w:t>
      </w:r>
      <w:hyperlink r:id="rId13" w:history="1">
        <w:r w:rsidR="0081771C" w:rsidRPr="00537693">
          <w:rPr>
            <w:rStyle w:val="Hyperlink0"/>
            <w:sz w:val="22"/>
            <w:szCs w:val="22"/>
          </w:rPr>
          <w:t>@lglgroup.com</w:t>
        </w:r>
      </w:hyperlink>
      <w:r w:rsidRPr="00537693">
        <w:rPr>
          <w:sz w:val="22"/>
          <w:szCs w:val="22"/>
        </w:rPr>
        <w:t xml:space="preserve"> </w:t>
      </w:r>
    </w:p>
    <w:p w14:paraId="4D2976EE" w14:textId="77777777" w:rsidR="00336E1A" w:rsidRPr="0063399B" w:rsidRDefault="00000000" w:rsidP="00855430">
      <w:pPr>
        <w:pStyle w:val="Normal0"/>
        <w:jc w:val="both"/>
        <w:rPr>
          <w:b/>
          <w:sz w:val="20"/>
          <w:szCs w:val="20"/>
        </w:rPr>
      </w:pPr>
      <w:r w:rsidRPr="00537693">
        <w:rPr>
          <w:sz w:val="22"/>
          <w:szCs w:val="22"/>
        </w:rPr>
        <w:t>(407) 298-2000</w:t>
      </w:r>
      <w:r w:rsidRPr="0063399B">
        <w:rPr>
          <w:b/>
          <w:sz w:val="20"/>
          <w:szCs w:val="20"/>
        </w:rPr>
        <w:tab/>
      </w:r>
    </w:p>
    <w:p w14:paraId="4AC4660C" w14:textId="77777777" w:rsidR="005F0D08" w:rsidRPr="00DA0DE2" w:rsidRDefault="00000000" w:rsidP="005F0D08">
      <w:pPr>
        <w:pStyle w:val="BodyText0"/>
        <w:autoSpaceDE w:val="0"/>
        <w:autoSpaceDN w:val="0"/>
        <w:adjustRightInd w:val="0"/>
        <w:spacing w:after="0"/>
        <w:jc w:val="center"/>
        <w:rPr>
          <w:b/>
          <w:sz w:val="20"/>
          <w:szCs w:val="20"/>
        </w:rPr>
      </w:pPr>
      <w:r w:rsidRPr="0063399B">
        <w:rPr>
          <w:sz w:val="20"/>
          <w:szCs w:val="20"/>
        </w:rPr>
        <w:br w:type="page"/>
      </w:r>
      <w:r w:rsidRPr="00DA0DE2">
        <w:rPr>
          <w:b/>
          <w:sz w:val="20"/>
          <w:szCs w:val="20"/>
        </w:rPr>
        <w:lastRenderedPageBreak/>
        <w:t>THE LGL GROUP, INC.</w:t>
      </w:r>
    </w:p>
    <w:p w14:paraId="6B8BAF2D" w14:textId="77777777" w:rsidR="00B14FEA" w:rsidRPr="00DA0DE2" w:rsidRDefault="00000000" w:rsidP="005F0D08">
      <w:pPr>
        <w:pStyle w:val="BodyText0"/>
        <w:autoSpaceDE w:val="0"/>
        <w:autoSpaceDN w:val="0"/>
        <w:adjustRightInd w:val="0"/>
        <w:spacing w:after="0"/>
        <w:jc w:val="center"/>
        <w:rPr>
          <w:b/>
          <w:sz w:val="20"/>
          <w:szCs w:val="20"/>
        </w:rPr>
      </w:pPr>
      <w:r w:rsidRPr="00DA0DE2">
        <w:rPr>
          <w:b/>
          <w:sz w:val="20"/>
          <w:szCs w:val="20"/>
        </w:rPr>
        <w:t xml:space="preserve">Condensed </w:t>
      </w:r>
      <w:r w:rsidR="005F0D08" w:rsidRPr="00DA0DE2">
        <w:rPr>
          <w:b/>
          <w:sz w:val="20"/>
          <w:szCs w:val="20"/>
        </w:rPr>
        <w:t>Consolidated Statements of Operations</w:t>
      </w:r>
    </w:p>
    <w:p w14:paraId="68CC42DD" w14:textId="77777777" w:rsidR="005F0D08" w:rsidRPr="00DA0DE2" w:rsidRDefault="00000000" w:rsidP="005F0D08">
      <w:pPr>
        <w:pStyle w:val="BodyText0"/>
        <w:autoSpaceDE w:val="0"/>
        <w:autoSpaceDN w:val="0"/>
        <w:adjustRightInd w:val="0"/>
        <w:spacing w:after="0"/>
        <w:jc w:val="center"/>
        <w:rPr>
          <w:b/>
          <w:sz w:val="20"/>
          <w:szCs w:val="20"/>
        </w:rPr>
      </w:pPr>
      <w:r w:rsidRPr="00DA0DE2">
        <w:rPr>
          <w:b/>
          <w:sz w:val="20"/>
          <w:szCs w:val="20"/>
        </w:rPr>
        <w:t>(Unaudited)</w:t>
      </w:r>
    </w:p>
    <w:p w14:paraId="7F2DF950" w14:textId="77777777" w:rsidR="005F0D08" w:rsidRPr="00DA0DE2" w:rsidRDefault="005F0D08" w:rsidP="005F0D08">
      <w:pPr>
        <w:pStyle w:val="Normal0"/>
        <w:jc w:val="center"/>
        <w:rPr>
          <w:sz w:val="20"/>
          <w:szCs w:val="20"/>
        </w:rPr>
      </w:pPr>
    </w:p>
    <w:p w14:paraId="21C27AE2" w14:textId="77777777" w:rsidR="005F0D08" w:rsidRDefault="00000000" w:rsidP="005F0D08">
      <w:pPr>
        <w:pStyle w:val="Normal0"/>
        <w:jc w:val="center"/>
        <w:rPr>
          <w:sz w:val="22"/>
          <w:szCs w:val="22"/>
        </w:rPr>
      </w:pPr>
      <w:r w:rsidRPr="00DA0DE2">
        <w:rPr>
          <w:sz w:val="20"/>
          <w:szCs w:val="20"/>
        </w:rPr>
        <w:t xml:space="preserve">(Dollars in Thousands, Except </w:t>
      </w:r>
      <w:r w:rsidR="00E03DCD" w:rsidRPr="00DA0DE2">
        <w:rPr>
          <w:sz w:val="20"/>
          <w:szCs w:val="20"/>
        </w:rPr>
        <w:t xml:space="preserve">Share and </w:t>
      </w:r>
      <w:r w:rsidRPr="00DA0DE2">
        <w:rPr>
          <w:sz w:val="20"/>
          <w:szCs w:val="20"/>
        </w:rPr>
        <w:t>Per Share Amounts)</w:t>
      </w:r>
    </w:p>
    <w:p w14:paraId="3CF0FDA7" w14:textId="77777777" w:rsidR="00733242" w:rsidRDefault="00733242" w:rsidP="005F0D08">
      <w:pPr>
        <w:pStyle w:val="Normal0"/>
        <w:jc w:val="center"/>
        <w:rPr>
          <w:sz w:val="22"/>
          <w:szCs w:val="22"/>
        </w:rPr>
      </w:pPr>
    </w:p>
    <w:p w14:paraId="043FC970" w14:textId="77777777" w:rsidR="00BC0924" w:rsidRDefault="00BC0924" w:rsidP="005F0D08">
      <w:pPr>
        <w:pStyle w:val="BodyText0"/>
        <w:autoSpaceDE w:val="0"/>
        <w:autoSpaceDN w:val="0"/>
        <w:adjustRightInd w:val="0"/>
        <w:spacing w:after="0"/>
        <w:jc w:val="center"/>
        <w:rPr>
          <w:b/>
          <w:sz w:val="22"/>
          <w:szCs w:val="22"/>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0" w:type="dxa"/>
          <w:right w:w="15" w:type="dxa"/>
        </w:tblCellMar>
        <w:tblLook w:val="04A0" w:firstRow="1" w:lastRow="0" w:firstColumn="1" w:lastColumn="0" w:noHBand="0" w:noVBand="1"/>
      </w:tblPr>
      <w:tblGrid>
        <w:gridCol w:w="5690"/>
        <w:gridCol w:w="151"/>
        <w:gridCol w:w="115"/>
        <w:gridCol w:w="1480"/>
        <w:gridCol w:w="88"/>
        <w:gridCol w:w="151"/>
        <w:gridCol w:w="115"/>
        <w:gridCol w:w="1482"/>
        <w:gridCol w:w="88"/>
      </w:tblGrid>
      <w:tr w:rsidR="003116D1" w14:paraId="545AB799" w14:textId="77777777">
        <w:trPr>
          <w:cantSplit/>
          <w:jc w:val="center"/>
        </w:trPr>
        <w:tc>
          <w:tcPr>
            <w:tcW w:w="3042" w:type="pct"/>
            <w:shd w:val="clear" w:color="auto" w:fill="FFFFFF"/>
            <w:tcMar>
              <w:top w:w="15" w:type="dxa"/>
              <w:left w:w="0" w:type="dxa"/>
              <w:bottom w:w="0" w:type="dxa"/>
              <w:right w:w="15" w:type="dxa"/>
            </w:tcMar>
            <w:vAlign w:val="bottom"/>
          </w:tcPr>
          <w:p w14:paraId="1E1F7208" w14:textId="77777777" w:rsidR="009A5AEC" w:rsidRDefault="00000000">
            <w:pPr>
              <w:pStyle w:val="Normal0"/>
              <w:keepNext/>
              <w:rPr>
                <w:b/>
                <w:color w:val="000000"/>
                <w:sz w:val="20"/>
              </w:rPr>
            </w:pPr>
            <w:r>
              <w:t xml:space="preserve"> </w:t>
            </w:r>
          </w:p>
        </w:tc>
        <w:tc>
          <w:tcPr>
            <w:tcW w:w="84" w:type="pct"/>
            <w:shd w:val="clear" w:color="auto" w:fill="FFFFFF"/>
            <w:tcMar>
              <w:top w:w="15" w:type="dxa"/>
              <w:left w:w="0" w:type="dxa"/>
              <w:bottom w:w="0" w:type="dxa"/>
              <w:right w:w="15" w:type="dxa"/>
            </w:tcMar>
            <w:vAlign w:val="bottom"/>
          </w:tcPr>
          <w:p w14:paraId="3766540E" w14:textId="77777777" w:rsidR="009A5AEC" w:rsidRDefault="00000000">
            <w:pPr>
              <w:pStyle w:val="Normal0"/>
              <w:rPr>
                <w:color w:val="000000"/>
                <w:sz w:val="20"/>
              </w:rPr>
            </w:pPr>
            <w:r>
              <w:rPr>
                <w:color w:val="000000"/>
                <w:sz w:val="20"/>
              </w:rPr>
              <w:t xml:space="preserve"> </w:t>
            </w:r>
          </w:p>
        </w:tc>
        <w:tc>
          <w:tcPr>
            <w:tcW w:w="1823" w:type="pct"/>
            <w:gridSpan w:val="6"/>
            <w:tcBorders>
              <w:bottom w:val="single" w:sz="2" w:space="0" w:color="000000"/>
            </w:tcBorders>
            <w:shd w:val="clear" w:color="auto" w:fill="FFFFFF"/>
            <w:tcMar>
              <w:top w:w="15" w:type="dxa"/>
              <w:left w:w="0" w:type="dxa"/>
              <w:bottom w:w="0" w:type="dxa"/>
              <w:right w:w="15" w:type="dxa"/>
            </w:tcMar>
            <w:vAlign w:val="bottom"/>
          </w:tcPr>
          <w:p w14:paraId="6BB36AEF" w14:textId="77777777" w:rsidR="009A5AEC" w:rsidRDefault="00000000">
            <w:pPr>
              <w:pStyle w:val="Normal0"/>
              <w:jc w:val="center"/>
              <w:rPr>
                <w:b/>
                <w:color w:val="000000"/>
                <w:sz w:val="20"/>
              </w:rPr>
            </w:pPr>
            <w:r>
              <w:rPr>
                <w:b/>
                <w:color w:val="000000"/>
                <w:sz w:val="20"/>
              </w:rPr>
              <w:t>For the Three Months Ended September 30,</w:t>
            </w:r>
          </w:p>
        </w:tc>
        <w:tc>
          <w:tcPr>
            <w:tcW w:w="50" w:type="pct"/>
            <w:shd w:val="clear" w:color="auto" w:fill="FFFFFF"/>
            <w:noWrap/>
            <w:tcMar>
              <w:top w:w="15" w:type="dxa"/>
              <w:left w:w="0" w:type="dxa"/>
              <w:bottom w:w="0" w:type="dxa"/>
              <w:right w:w="15" w:type="dxa"/>
            </w:tcMar>
            <w:vAlign w:val="bottom"/>
          </w:tcPr>
          <w:p w14:paraId="5D1A4876" w14:textId="77777777" w:rsidR="009A5AEC" w:rsidRDefault="00000000">
            <w:pPr>
              <w:pStyle w:val="Normal0"/>
              <w:rPr>
                <w:b/>
                <w:color w:val="000000"/>
                <w:sz w:val="20"/>
              </w:rPr>
            </w:pPr>
            <w:r>
              <w:rPr>
                <w:b/>
                <w:color w:val="000000"/>
                <w:sz w:val="20"/>
              </w:rPr>
              <w:t xml:space="preserve"> </w:t>
            </w:r>
          </w:p>
        </w:tc>
      </w:tr>
      <w:tr w:rsidR="003116D1" w14:paraId="1B7C33A9" w14:textId="77777777">
        <w:trPr>
          <w:cantSplit/>
          <w:jc w:val="center"/>
        </w:trPr>
        <w:tc>
          <w:tcPr>
            <w:tcW w:w="3042" w:type="pct"/>
            <w:shd w:val="clear" w:color="auto" w:fill="FFFFFF"/>
            <w:tcMar>
              <w:top w:w="15" w:type="dxa"/>
              <w:left w:w="0" w:type="dxa"/>
              <w:bottom w:w="0" w:type="dxa"/>
              <w:right w:w="15" w:type="dxa"/>
            </w:tcMar>
            <w:vAlign w:val="bottom"/>
          </w:tcPr>
          <w:p w14:paraId="37425587" w14:textId="77777777" w:rsidR="009A5AEC" w:rsidRDefault="00000000">
            <w:pPr>
              <w:pStyle w:val="Normal0"/>
              <w:keepNext/>
              <w:rPr>
                <w:b/>
                <w:color w:val="000000"/>
                <w:sz w:val="20"/>
              </w:rPr>
            </w:pPr>
            <w:r>
              <w:rPr>
                <w:b/>
                <w:color w:val="000000"/>
                <w:sz w:val="20"/>
              </w:rPr>
              <w:t xml:space="preserve"> </w:t>
            </w:r>
          </w:p>
        </w:tc>
        <w:tc>
          <w:tcPr>
            <w:tcW w:w="84" w:type="pct"/>
            <w:shd w:val="clear" w:color="auto" w:fill="FFFFFF"/>
            <w:tcMar>
              <w:top w:w="15" w:type="dxa"/>
              <w:left w:w="0" w:type="dxa"/>
              <w:bottom w:w="0" w:type="dxa"/>
              <w:right w:w="15" w:type="dxa"/>
            </w:tcMar>
            <w:vAlign w:val="bottom"/>
          </w:tcPr>
          <w:p w14:paraId="06D7F9EF" w14:textId="77777777" w:rsidR="009A5AEC" w:rsidRDefault="00000000">
            <w:pPr>
              <w:pStyle w:val="Normal0"/>
              <w:rPr>
                <w:color w:val="000000"/>
                <w:sz w:val="20"/>
              </w:rPr>
            </w:pPr>
            <w:r>
              <w:rPr>
                <w:color w:val="000000"/>
                <w:sz w:val="20"/>
              </w:rPr>
              <w:t xml:space="preserve"> </w:t>
            </w:r>
          </w:p>
        </w:tc>
        <w:tc>
          <w:tcPr>
            <w:tcW w:w="844" w:type="pct"/>
            <w:gridSpan w:val="2"/>
            <w:tcBorders>
              <w:top w:val="single" w:sz="2" w:space="0" w:color="000000"/>
              <w:bottom w:val="single" w:sz="2" w:space="0" w:color="000000"/>
            </w:tcBorders>
            <w:shd w:val="clear" w:color="auto" w:fill="FFFFFF"/>
            <w:tcMar>
              <w:top w:w="15" w:type="dxa"/>
              <w:left w:w="0" w:type="dxa"/>
              <w:bottom w:w="0" w:type="dxa"/>
              <w:right w:w="15" w:type="dxa"/>
            </w:tcMar>
            <w:vAlign w:val="bottom"/>
          </w:tcPr>
          <w:p w14:paraId="269BE9CB" w14:textId="77777777" w:rsidR="009A5AEC" w:rsidRDefault="00000000">
            <w:pPr>
              <w:pStyle w:val="Normal0"/>
              <w:jc w:val="center"/>
              <w:rPr>
                <w:b/>
                <w:color w:val="000000"/>
                <w:sz w:val="20"/>
              </w:rPr>
            </w:pPr>
            <w:r>
              <w:rPr>
                <w:b/>
                <w:color w:val="000000"/>
                <w:sz w:val="20"/>
              </w:rPr>
              <w:t>2022</w:t>
            </w:r>
          </w:p>
        </w:tc>
        <w:tc>
          <w:tcPr>
            <w:tcW w:w="50" w:type="pct"/>
            <w:shd w:val="clear" w:color="auto" w:fill="FFFFFF"/>
            <w:noWrap/>
            <w:tcMar>
              <w:top w:w="15" w:type="dxa"/>
              <w:left w:w="0" w:type="dxa"/>
              <w:bottom w:w="0" w:type="dxa"/>
              <w:right w:w="15" w:type="dxa"/>
            </w:tcMar>
            <w:vAlign w:val="bottom"/>
          </w:tcPr>
          <w:p w14:paraId="4664CB6A" w14:textId="77777777" w:rsidR="009A5AEC" w:rsidRDefault="00000000">
            <w:pPr>
              <w:pStyle w:val="Normal0"/>
              <w:rPr>
                <w:b/>
                <w:color w:val="000000"/>
                <w:sz w:val="20"/>
              </w:rPr>
            </w:pPr>
            <w:r>
              <w:rPr>
                <w:b/>
                <w:color w:val="000000"/>
                <w:sz w:val="20"/>
              </w:rPr>
              <w:t xml:space="preserve"> </w:t>
            </w:r>
          </w:p>
        </w:tc>
        <w:tc>
          <w:tcPr>
            <w:tcW w:w="84" w:type="pct"/>
            <w:tcBorders>
              <w:top w:val="single" w:sz="2" w:space="0" w:color="000000"/>
            </w:tcBorders>
            <w:shd w:val="clear" w:color="auto" w:fill="FFFFFF"/>
            <w:tcMar>
              <w:top w:w="15" w:type="dxa"/>
              <w:left w:w="0" w:type="dxa"/>
              <w:bottom w:w="0" w:type="dxa"/>
              <w:right w:w="15" w:type="dxa"/>
            </w:tcMar>
            <w:vAlign w:val="bottom"/>
          </w:tcPr>
          <w:p w14:paraId="23DC83F7" w14:textId="77777777" w:rsidR="009A5AEC" w:rsidRDefault="00000000">
            <w:pPr>
              <w:pStyle w:val="Normal0"/>
              <w:rPr>
                <w:color w:val="000000"/>
                <w:sz w:val="20"/>
              </w:rPr>
            </w:pPr>
            <w:r>
              <w:rPr>
                <w:color w:val="000000"/>
                <w:sz w:val="20"/>
              </w:rPr>
              <w:t xml:space="preserve"> </w:t>
            </w:r>
          </w:p>
        </w:tc>
        <w:tc>
          <w:tcPr>
            <w:tcW w:w="844" w:type="pct"/>
            <w:gridSpan w:val="2"/>
            <w:tcBorders>
              <w:top w:val="single" w:sz="2" w:space="0" w:color="000000"/>
              <w:bottom w:val="single" w:sz="2" w:space="0" w:color="000000"/>
            </w:tcBorders>
            <w:shd w:val="clear" w:color="auto" w:fill="FFFFFF"/>
            <w:tcMar>
              <w:top w:w="15" w:type="dxa"/>
              <w:left w:w="0" w:type="dxa"/>
              <w:bottom w:w="0" w:type="dxa"/>
              <w:right w:w="15" w:type="dxa"/>
            </w:tcMar>
            <w:vAlign w:val="bottom"/>
          </w:tcPr>
          <w:p w14:paraId="5DBF6821" w14:textId="77777777" w:rsidR="009A5AEC" w:rsidRDefault="00000000">
            <w:pPr>
              <w:pStyle w:val="Normal0"/>
              <w:jc w:val="center"/>
              <w:rPr>
                <w:b/>
                <w:color w:val="000000"/>
                <w:sz w:val="20"/>
              </w:rPr>
            </w:pPr>
            <w:r>
              <w:rPr>
                <w:b/>
                <w:color w:val="000000"/>
                <w:sz w:val="20"/>
              </w:rPr>
              <w:t>2021</w:t>
            </w:r>
          </w:p>
        </w:tc>
        <w:tc>
          <w:tcPr>
            <w:tcW w:w="50" w:type="pct"/>
            <w:shd w:val="clear" w:color="auto" w:fill="FFFFFF"/>
            <w:noWrap/>
            <w:tcMar>
              <w:top w:w="15" w:type="dxa"/>
              <w:left w:w="0" w:type="dxa"/>
              <w:bottom w:w="0" w:type="dxa"/>
              <w:right w:w="15" w:type="dxa"/>
            </w:tcMar>
            <w:vAlign w:val="bottom"/>
          </w:tcPr>
          <w:p w14:paraId="130AAC2F" w14:textId="77777777" w:rsidR="009A5AEC" w:rsidRDefault="00000000">
            <w:pPr>
              <w:pStyle w:val="Normal0"/>
              <w:rPr>
                <w:b/>
                <w:color w:val="000000"/>
                <w:sz w:val="20"/>
              </w:rPr>
            </w:pPr>
            <w:r>
              <w:rPr>
                <w:b/>
                <w:color w:val="000000"/>
                <w:sz w:val="20"/>
              </w:rPr>
              <w:t xml:space="preserve"> </w:t>
            </w:r>
          </w:p>
        </w:tc>
      </w:tr>
      <w:tr w:rsidR="003116D1" w14:paraId="13B0D7D8" w14:textId="77777777">
        <w:trPr>
          <w:cantSplit/>
          <w:jc w:val="center"/>
        </w:trPr>
        <w:tc>
          <w:tcPr>
            <w:tcW w:w="3042" w:type="pct"/>
            <w:shd w:val="clear" w:color="auto" w:fill="FFFFFF"/>
            <w:tcMar>
              <w:top w:w="15" w:type="dxa"/>
              <w:left w:w="0" w:type="dxa"/>
              <w:bottom w:w="0" w:type="dxa"/>
              <w:right w:w="15" w:type="dxa"/>
            </w:tcMar>
            <w:vAlign w:val="bottom"/>
          </w:tcPr>
          <w:p w14:paraId="06D690CC" w14:textId="77777777" w:rsidR="009A5AEC" w:rsidRDefault="00000000">
            <w:pPr>
              <w:pStyle w:val="Normal0"/>
              <w:keepNext/>
              <w:rPr>
                <w:color w:val="000000"/>
                <w:sz w:val="20"/>
              </w:rPr>
            </w:pPr>
            <w:r>
              <w:rPr>
                <w:b/>
                <w:color w:val="000000"/>
                <w:sz w:val="20"/>
              </w:rPr>
              <w:t xml:space="preserve"> REVENUE</w:t>
            </w:r>
            <w:r>
              <w:rPr>
                <w:color w:val="000000"/>
                <w:sz w:val="20"/>
              </w:rPr>
              <w:t>S</w:t>
            </w:r>
          </w:p>
        </w:tc>
        <w:tc>
          <w:tcPr>
            <w:tcW w:w="84" w:type="pct"/>
            <w:shd w:val="clear" w:color="auto" w:fill="FFFFFF"/>
            <w:tcMar>
              <w:top w:w="15" w:type="dxa"/>
              <w:left w:w="0" w:type="dxa"/>
              <w:bottom w:w="0" w:type="dxa"/>
              <w:right w:w="15" w:type="dxa"/>
            </w:tcMar>
            <w:vAlign w:val="bottom"/>
          </w:tcPr>
          <w:p w14:paraId="707D90A3"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1C22B5B4" w14:textId="77777777" w:rsidR="009A5AEC" w:rsidRDefault="00000000">
            <w:pPr>
              <w:pStyle w:val="Normal0"/>
              <w:rPr>
                <w:color w:val="000000"/>
                <w:sz w:val="20"/>
              </w:rPr>
            </w:pPr>
            <w:r>
              <w:rPr>
                <w:color w:val="000000"/>
                <w:sz w:val="20"/>
              </w:rPr>
              <w:t>$</w:t>
            </w:r>
          </w:p>
        </w:tc>
        <w:tc>
          <w:tcPr>
            <w:tcW w:w="794" w:type="pct"/>
            <w:tcBorders>
              <w:top w:val="single" w:sz="2" w:space="0" w:color="000000"/>
            </w:tcBorders>
            <w:shd w:val="clear" w:color="auto" w:fill="FFFFFF"/>
            <w:noWrap/>
            <w:tcMar>
              <w:top w:w="15" w:type="dxa"/>
              <w:left w:w="0" w:type="dxa"/>
              <w:bottom w:w="0" w:type="dxa"/>
              <w:right w:w="15" w:type="dxa"/>
            </w:tcMar>
            <w:vAlign w:val="bottom"/>
          </w:tcPr>
          <w:p w14:paraId="7AA170DC" w14:textId="77777777" w:rsidR="009A5AEC" w:rsidRDefault="00000000">
            <w:pPr>
              <w:pStyle w:val="Normal0"/>
              <w:jc w:val="right"/>
              <w:rPr>
                <w:color w:val="000000"/>
                <w:sz w:val="20"/>
              </w:rPr>
            </w:pPr>
            <w:r>
              <w:rPr>
                <w:color w:val="000000"/>
                <w:sz w:val="20"/>
              </w:rPr>
              <w:t>8,761</w:t>
            </w:r>
          </w:p>
        </w:tc>
        <w:tc>
          <w:tcPr>
            <w:tcW w:w="50" w:type="pct"/>
            <w:shd w:val="clear" w:color="auto" w:fill="FFFFFF"/>
            <w:noWrap/>
            <w:tcMar>
              <w:top w:w="15" w:type="dxa"/>
              <w:left w:w="0" w:type="dxa"/>
              <w:bottom w:w="0" w:type="dxa"/>
              <w:right w:w="15" w:type="dxa"/>
            </w:tcMar>
            <w:vAlign w:val="bottom"/>
          </w:tcPr>
          <w:p w14:paraId="1E73AA26"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565341F4"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531618CA" w14:textId="77777777" w:rsidR="009A5AEC" w:rsidRDefault="00000000">
            <w:pPr>
              <w:pStyle w:val="Normal0"/>
              <w:rPr>
                <w:color w:val="000000"/>
                <w:sz w:val="20"/>
              </w:rPr>
            </w:pPr>
            <w:r>
              <w:rPr>
                <w:color w:val="000000"/>
                <w:sz w:val="20"/>
              </w:rPr>
              <w:t>$</w:t>
            </w:r>
          </w:p>
        </w:tc>
        <w:tc>
          <w:tcPr>
            <w:tcW w:w="794" w:type="pct"/>
            <w:tcBorders>
              <w:top w:val="single" w:sz="2" w:space="0" w:color="000000"/>
            </w:tcBorders>
            <w:shd w:val="clear" w:color="auto" w:fill="FFFFFF"/>
            <w:noWrap/>
            <w:tcMar>
              <w:top w:w="15" w:type="dxa"/>
              <w:left w:w="0" w:type="dxa"/>
              <w:bottom w:w="0" w:type="dxa"/>
              <w:right w:w="15" w:type="dxa"/>
            </w:tcMar>
            <w:vAlign w:val="bottom"/>
          </w:tcPr>
          <w:p w14:paraId="11C1CD7C" w14:textId="77777777" w:rsidR="009A5AEC" w:rsidRDefault="00000000">
            <w:pPr>
              <w:pStyle w:val="Normal0"/>
              <w:jc w:val="right"/>
              <w:rPr>
                <w:color w:val="000000"/>
                <w:sz w:val="20"/>
              </w:rPr>
            </w:pPr>
            <w:r>
              <w:rPr>
                <w:color w:val="000000"/>
                <w:sz w:val="20"/>
              </w:rPr>
              <w:t>7,501</w:t>
            </w:r>
          </w:p>
        </w:tc>
        <w:tc>
          <w:tcPr>
            <w:tcW w:w="50" w:type="pct"/>
            <w:shd w:val="clear" w:color="auto" w:fill="FFFFFF"/>
            <w:noWrap/>
            <w:tcMar>
              <w:top w:w="15" w:type="dxa"/>
              <w:left w:w="0" w:type="dxa"/>
              <w:bottom w:w="0" w:type="dxa"/>
              <w:right w:w="15" w:type="dxa"/>
            </w:tcMar>
            <w:vAlign w:val="bottom"/>
          </w:tcPr>
          <w:p w14:paraId="52F4C831" w14:textId="77777777" w:rsidR="009A5AEC" w:rsidRDefault="00000000">
            <w:pPr>
              <w:pStyle w:val="Normal0"/>
              <w:rPr>
                <w:color w:val="000000"/>
                <w:sz w:val="20"/>
              </w:rPr>
            </w:pPr>
            <w:r>
              <w:rPr>
                <w:color w:val="000000"/>
                <w:sz w:val="20"/>
              </w:rPr>
              <w:t xml:space="preserve"> </w:t>
            </w:r>
          </w:p>
        </w:tc>
      </w:tr>
      <w:tr w:rsidR="003116D1" w14:paraId="31355260" w14:textId="77777777">
        <w:trPr>
          <w:cantSplit/>
          <w:jc w:val="center"/>
        </w:trPr>
        <w:tc>
          <w:tcPr>
            <w:tcW w:w="3042" w:type="pct"/>
            <w:shd w:val="clear" w:color="auto" w:fill="FFFFFF"/>
            <w:tcMar>
              <w:top w:w="15" w:type="dxa"/>
              <w:left w:w="0" w:type="dxa"/>
              <w:bottom w:w="0" w:type="dxa"/>
              <w:right w:w="15" w:type="dxa"/>
            </w:tcMar>
            <w:vAlign w:val="bottom"/>
          </w:tcPr>
          <w:p w14:paraId="02553D5C" w14:textId="77777777" w:rsidR="009A5AEC" w:rsidRDefault="00000000">
            <w:pPr>
              <w:pStyle w:val="Normal0"/>
              <w:keepNext/>
              <w:rPr>
                <w:color w:val="000000"/>
                <w:sz w:val="20"/>
              </w:rPr>
            </w:pPr>
            <w:r>
              <w:rPr>
                <w:color w:val="000000"/>
                <w:sz w:val="20"/>
              </w:rPr>
              <w:t xml:space="preserve"> Costs and expenses:</w:t>
            </w:r>
          </w:p>
        </w:tc>
        <w:tc>
          <w:tcPr>
            <w:tcW w:w="84" w:type="pct"/>
            <w:shd w:val="clear" w:color="auto" w:fill="FFFFFF"/>
            <w:tcMar>
              <w:top w:w="15" w:type="dxa"/>
              <w:left w:w="0" w:type="dxa"/>
              <w:bottom w:w="0" w:type="dxa"/>
              <w:right w:w="15" w:type="dxa"/>
            </w:tcMar>
            <w:vAlign w:val="bottom"/>
          </w:tcPr>
          <w:p w14:paraId="1B1F9544"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25AE16F1" w14:textId="77777777" w:rsidR="009A5AEC" w:rsidRDefault="00000000">
            <w:pPr>
              <w:pStyle w:val="Normal0"/>
              <w:rPr>
                <w:color w:val="000000"/>
                <w:sz w:val="20"/>
              </w:rPr>
            </w:pPr>
            <w:r>
              <w:rPr>
                <w:color w:val="000000"/>
                <w:sz w:val="20"/>
              </w:rPr>
              <w:t xml:space="preserve"> </w:t>
            </w:r>
          </w:p>
        </w:tc>
        <w:tc>
          <w:tcPr>
            <w:tcW w:w="794" w:type="pct"/>
            <w:shd w:val="clear" w:color="auto" w:fill="FFFFFF"/>
            <w:noWrap/>
            <w:tcMar>
              <w:top w:w="15" w:type="dxa"/>
              <w:left w:w="0" w:type="dxa"/>
              <w:bottom w:w="0" w:type="dxa"/>
              <w:right w:w="15" w:type="dxa"/>
            </w:tcMar>
            <w:vAlign w:val="bottom"/>
          </w:tcPr>
          <w:p w14:paraId="22B2DFBD"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433E1460"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3FA081FD"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0BA79BF5" w14:textId="77777777" w:rsidR="009A5AEC" w:rsidRDefault="00000000">
            <w:pPr>
              <w:pStyle w:val="Normal0"/>
              <w:rPr>
                <w:color w:val="000000"/>
                <w:sz w:val="20"/>
              </w:rPr>
            </w:pPr>
            <w:r>
              <w:rPr>
                <w:color w:val="000000"/>
                <w:sz w:val="20"/>
              </w:rPr>
              <w:t xml:space="preserve"> </w:t>
            </w:r>
          </w:p>
        </w:tc>
        <w:tc>
          <w:tcPr>
            <w:tcW w:w="794" w:type="pct"/>
            <w:shd w:val="clear" w:color="auto" w:fill="FFFFFF"/>
            <w:noWrap/>
            <w:tcMar>
              <w:top w:w="15" w:type="dxa"/>
              <w:left w:w="0" w:type="dxa"/>
              <w:bottom w:w="0" w:type="dxa"/>
              <w:right w:w="15" w:type="dxa"/>
            </w:tcMar>
            <w:vAlign w:val="bottom"/>
          </w:tcPr>
          <w:p w14:paraId="3816BFB3"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5BC50A9F" w14:textId="77777777" w:rsidR="009A5AEC" w:rsidRDefault="00000000">
            <w:pPr>
              <w:pStyle w:val="Normal0"/>
              <w:rPr>
                <w:color w:val="000000"/>
                <w:sz w:val="20"/>
              </w:rPr>
            </w:pPr>
            <w:r>
              <w:rPr>
                <w:color w:val="000000"/>
                <w:sz w:val="20"/>
              </w:rPr>
              <w:t xml:space="preserve"> </w:t>
            </w:r>
          </w:p>
        </w:tc>
      </w:tr>
      <w:tr w:rsidR="003116D1" w14:paraId="29EBFC3B" w14:textId="77777777">
        <w:trPr>
          <w:cantSplit/>
          <w:jc w:val="center"/>
        </w:trPr>
        <w:tc>
          <w:tcPr>
            <w:tcW w:w="3042" w:type="pct"/>
            <w:shd w:val="clear" w:color="auto" w:fill="FFFFFF"/>
            <w:tcMar>
              <w:top w:w="15" w:type="dxa"/>
              <w:left w:w="0" w:type="dxa"/>
              <w:bottom w:w="0" w:type="dxa"/>
              <w:right w:w="15" w:type="dxa"/>
            </w:tcMar>
            <w:vAlign w:val="bottom"/>
          </w:tcPr>
          <w:p w14:paraId="65A5F3D5" w14:textId="77777777" w:rsidR="009A5AEC" w:rsidRDefault="00000000">
            <w:pPr>
              <w:pStyle w:val="Normal0"/>
              <w:keepNext/>
              <w:ind w:left="274"/>
              <w:rPr>
                <w:color w:val="000000"/>
                <w:sz w:val="20"/>
              </w:rPr>
            </w:pPr>
            <w:r>
              <w:rPr>
                <w:color w:val="000000"/>
                <w:sz w:val="20"/>
              </w:rPr>
              <w:t xml:space="preserve"> Manufacturing cost of sales</w:t>
            </w:r>
          </w:p>
        </w:tc>
        <w:tc>
          <w:tcPr>
            <w:tcW w:w="84" w:type="pct"/>
            <w:shd w:val="clear" w:color="auto" w:fill="FFFFFF"/>
            <w:tcMar>
              <w:top w:w="15" w:type="dxa"/>
              <w:left w:w="0" w:type="dxa"/>
              <w:bottom w:w="0" w:type="dxa"/>
              <w:right w:w="15" w:type="dxa"/>
            </w:tcMar>
            <w:vAlign w:val="bottom"/>
          </w:tcPr>
          <w:p w14:paraId="2A880CBE"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405DB11C" w14:textId="77777777" w:rsidR="009A5AEC" w:rsidRDefault="00000000">
            <w:pPr>
              <w:pStyle w:val="Normal0"/>
              <w:rPr>
                <w:color w:val="000000"/>
                <w:sz w:val="20"/>
              </w:rPr>
            </w:pPr>
            <w:r>
              <w:rPr>
                <w:color w:val="000000"/>
                <w:sz w:val="20"/>
              </w:rPr>
              <w:t xml:space="preserve"> </w:t>
            </w:r>
          </w:p>
        </w:tc>
        <w:tc>
          <w:tcPr>
            <w:tcW w:w="794" w:type="pct"/>
            <w:shd w:val="clear" w:color="auto" w:fill="FFFFFF"/>
            <w:noWrap/>
            <w:tcMar>
              <w:top w:w="15" w:type="dxa"/>
              <w:left w:w="0" w:type="dxa"/>
              <w:bottom w:w="0" w:type="dxa"/>
              <w:right w:w="15" w:type="dxa"/>
            </w:tcMar>
            <w:vAlign w:val="bottom"/>
          </w:tcPr>
          <w:p w14:paraId="65606213" w14:textId="77777777" w:rsidR="009A5AEC" w:rsidRDefault="00000000">
            <w:pPr>
              <w:pStyle w:val="Normal0"/>
              <w:jc w:val="right"/>
              <w:rPr>
                <w:color w:val="000000"/>
                <w:sz w:val="20"/>
              </w:rPr>
            </w:pPr>
            <w:r>
              <w:rPr>
                <w:color w:val="000000"/>
                <w:sz w:val="20"/>
              </w:rPr>
              <w:t>5,891</w:t>
            </w:r>
          </w:p>
        </w:tc>
        <w:tc>
          <w:tcPr>
            <w:tcW w:w="50" w:type="pct"/>
            <w:shd w:val="clear" w:color="auto" w:fill="FFFFFF"/>
            <w:noWrap/>
            <w:tcMar>
              <w:top w:w="15" w:type="dxa"/>
              <w:left w:w="0" w:type="dxa"/>
              <w:bottom w:w="0" w:type="dxa"/>
              <w:right w:w="15" w:type="dxa"/>
            </w:tcMar>
            <w:vAlign w:val="bottom"/>
          </w:tcPr>
          <w:p w14:paraId="3D9F6A1D"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27B6B400"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27243932" w14:textId="77777777" w:rsidR="009A5AEC" w:rsidRDefault="00000000">
            <w:pPr>
              <w:pStyle w:val="Normal0"/>
              <w:rPr>
                <w:color w:val="000000"/>
                <w:sz w:val="20"/>
              </w:rPr>
            </w:pPr>
            <w:r>
              <w:rPr>
                <w:color w:val="000000"/>
                <w:sz w:val="20"/>
              </w:rPr>
              <w:t xml:space="preserve"> </w:t>
            </w:r>
          </w:p>
        </w:tc>
        <w:tc>
          <w:tcPr>
            <w:tcW w:w="794" w:type="pct"/>
            <w:shd w:val="clear" w:color="auto" w:fill="FFFFFF"/>
            <w:noWrap/>
            <w:tcMar>
              <w:top w:w="15" w:type="dxa"/>
              <w:left w:w="0" w:type="dxa"/>
              <w:bottom w:w="0" w:type="dxa"/>
              <w:right w:w="15" w:type="dxa"/>
            </w:tcMar>
            <w:vAlign w:val="bottom"/>
          </w:tcPr>
          <w:p w14:paraId="33B2FACC" w14:textId="77777777" w:rsidR="009A5AEC" w:rsidRDefault="00000000">
            <w:pPr>
              <w:pStyle w:val="Normal0"/>
              <w:jc w:val="right"/>
              <w:rPr>
                <w:color w:val="000000"/>
                <w:sz w:val="20"/>
              </w:rPr>
            </w:pPr>
            <w:r>
              <w:rPr>
                <w:color w:val="000000"/>
                <w:sz w:val="20"/>
              </w:rPr>
              <w:t>4,782</w:t>
            </w:r>
          </w:p>
        </w:tc>
        <w:tc>
          <w:tcPr>
            <w:tcW w:w="50" w:type="pct"/>
            <w:shd w:val="clear" w:color="auto" w:fill="FFFFFF"/>
            <w:noWrap/>
            <w:tcMar>
              <w:top w:w="15" w:type="dxa"/>
              <w:left w:w="0" w:type="dxa"/>
              <w:bottom w:w="0" w:type="dxa"/>
              <w:right w:w="15" w:type="dxa"/>
            </w:tcMar>
            <w:vAlign w:val="bottom"/>
          </w:tcPr>
          <w:p w14:paraId="744C3075" w14:textId="77777777" w:rsidR="009A5AEC" w:rsidRDefault="00000000">
            <w:pPr>
              <w:pStyle w:val="Normal0"/>
              <w:rPr>
                <w:color w:val="000000"/>
                <w:sz w:val="20"/>
              </w:rPr>
            </w:pPr>
            <w:r>
              <w:rPr>
                <w:color w:val="000000"/>
                <w:sz w:val="20"/>
              </w:rPr>
              <w:t xml:space="preserve"> </w:t>
            </w:r>
          </w:p>
        </w:tc>
      </w:tr>
      <w:tr w:rsidR="003116D1" w14:paraId="1ABDE3B0" w14:textId="77777777">
        <w:trPr>
          <w:cantSplit/>
          <w:jc w:val="center"/>
        </w:trPr>
        <w:tc>
          <w:tcPr>
            <w:tcW w:w="3042" w:type="pct"/>
            <w:shd w:val="clear" w:color="auto" w:fill="FFFFFF"/>
            <w:tcMar>
              <w:top w:w="15" w:type="dxa"/>
              <w:left w:w="0" w:type="dxa"/>
              <w:bottom w:w="0" w:type="dxa"/>
              <w:right w:w="15" w:type="dxa"/>
            </w:tcMar>
            <w:vAlign w:val="bottom"/>
          </w:tcPr>
          <w:p w14:paraId="5D38237F" w14:textId="77777777" w:rsidR="009A5AEC" w:rsidRDefault="00000000">
            <w:pPr>
              <w:pStyle w:val="Normal0"/>
              <w:keepNext/>
              <w:ind w:left="274"/>
              <w:rPr>
                <w:color w:val="000000"/>
                <w:sz w:val="20"/>
              </w:rPr>
            </w:pPr>
            <w:r>
              <w:rPr>
                <w:color w:val="000000"/>
                <w:sz w:val="20"/>
              </w:rPr>
              <w:t xml:space="preserve"> Engineering, selling and administrative</w:t>
            </w:r>
          </w:p>
        </w:tc>
        <w:tc>
          <w:tcPr>
            <w:tcW w:w="84" w:type="pct"/>
            <w:shd w:val="clear" w:color="auto" w:fill="FFFFFF"/>
            <w:tcMar>
              <w:top w:w="15" w:type="dxa"/>
              <w:left w:w="0" w:type="dxa"/>
              <w:bottom w:w="0" w:type="dxa"/>
              <w:right w:w="15" w:type="dxa"/>
            </w:tcMar>
            <w:vAlign w:val="bottom"/>
          </w:tcPr>
          <w:p w14:paraId="4DB6A497"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72D50C72" w14:textId="77777777" w:rsidR="009A5AEC" w:rsidRDefault="00000000">
            <w:pPr>
              <w:pStyle w:val="Normal0"/>
              <w:rPr>
                <w:color w:val="000000"/>
                <w:sz w:val="20"/>
              </w:rPr>
            </w:pPr>
            <w:r>
              <w:rPr>
                <w:color w:val="000000"/>
                <w:sz w:val="20"/>
              </w:rPr>
              <w:t xml:space="preserve"> </w:t>
            </w:r>
          </w:p>
        </w:tc>
        <w:tc>
          <w:tcPr>
            <w:tcW w:w="794" w:type="pct"/>
            <w:tcBorders>
              <w:bottom w:val="single" w:sz="2" w:space="0" w:color="000000"/>
            </w:tcBorders>
            <w:shd w:val="clear" w:color="auto" w:fill="FFFFFF"/>
            <w:noWrap/>
            <w:tcMar>
              <w:top w:w="15" w:type="dxa"/>
              <w:left w:w="0" w:type="dxa"/>
              <w:bottom w:w="0" w:type="dxa"/>
              <w:right w:w="15" w:type="dxa"/>
            </w:tcMar>
            <w:vAlign w:val="bottom"/>
          </w:tcPr>
          <w:p w14:paraId="724B5837" w14:textId="77777777" w:rsidR="009A5AEC" w:rsidRDefault="00000000">
            <w:pPr>
              <w:pStyle w:val="Normal0"/>
              <w:jc w:val="right"/>
              <w:rPr>
                <w:color w:val="000000"/>
                <w:sz w:val="20"/>
              </w:rPr>
            </w:pPr>
            <w:r>
              <w:rPr>
                <w:color w:val="000000"/>
                <w:sz w:val="20"/>
              </w:rPr>
              <w:t>2,749</w:t>
            </w:r>
          </w:p>
        </w:tc>
        <w:tc>
          <w:tcPr>
            <w:tcW w:w="50" w:type="pct"/>
            <w:shd w:val="clear" w:color="auto" w:fill="FFFFFF"/>
            <w:noWrap/>
            <w:tcMar>
              <w:top w:w="15" w:type="dxa"/>
              <w:left w:w="0" w:type="dxa"/>
              <w:bottom w:w="0" w:type="dxa"/>
              <w:right w:w="15" w:type="dxa"/>
            </w:tcMar>
            <w:vAlign w:val="bottom"/>
          </w:tcPr>
          <w:p w14:paraId="4F8417E9"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19962F12"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31988ED2" w14:textId="77777777" w:rsidR="009A5AEC" w:rsidRDefault="00000000">
            <w:pPr>
              <w:pStyle w:val="Normal0"/>
              <w:rPr>
                <w:color w:val="000000"/>
                <w:sz w:val="20"/>
              </w:rPr>
            </w:pPr>
            <w:r>
              <w:rPr>
                <w:color w:val="000000"/>
                <w:sz w:val="20"/>
              </w:rPr>
              <w:t xml:space="preserve"> </w:t>
            </w:r>
          </w:p>
        </w:tc>
        <w:tc>
          <w:tcPr>
            <w:tcW w:w="794" w:type="pct"/>
            <w:tcBorders>
              <w:bottom w:val="single" w:sz="2" w:space="0" w:color="000000"/>
            </w:tcBorders>
            <w:shd w:val="clear" w:color="auto" w:fill="FFFFFF"/>
            <w:noWrap/>
            <w:tcMar>
              <w:top w:w="15" w:type="dxa"/>
              <w:left w:w="0" w:type="dxa"/>
              <w:bottom w:w="0" w:type="dxa"/>
              <w:right w:w="15" w:type="dxa"/>
            </w:tcMar>
            <w:vAlign w:val="bottom"/>
          </w:tcPr>
          <w:p w14:paraId="44ABDA7E" w14:textId="77777777" w:rsidR="009A5AEC" w:rsidRDefault="00000000">
            <w:pPr>
              <w:pStyle w:val="Normal0"/>
              <w:jc w:val="right"/>
              <w:rPr>
                <w:color w:val="000000"/>
                <w:sz w:val="20"/>
              </w:rPr>
            </w:pPr>
            <w:r>
              <w:rPr>
                <w:color w:val="000000"/>
                <w:sz w:val="20"/>
              </w:rPr>
              <w:t>3,465</w:t>
            </w:r>
          </w:p>
        </w:tc>
        <w:tc>
          <w:tcPr>
            <w:tcW w:w="50" w:type="pct"/>
            <w:shd w:val="clear" w:color="auto" w:fill="FFFFFF"/>
            <w:noWrap/>
            <w:tcMar>
              <w:top w:w="15" w:type="dxa"/>
              <w:left w:w="0" w:type="dxa"/>
              <w:bottom w:w="0" w:type="dxa"/>
              <w:right w:w="15" w:type="dxa"/>
            </w:tcMar>
            <w:vAlign w:val="bottom"/>
          </w:tcPr>
          <w:p w14:paraId="0FE9E333" w14:textId="77777777" w:rsidR="009A5AEC" w:rsidRDefault="00000000">
            <w:pPr>
              <w:pStyle w:val="Normal0"/>
              <w:rPr>
                <w:color w:val="000000"/>
                <w:sz w:val="20"/>
              </w:rPr>
            </w:pPr>
            <w:r>
              <w:rPr>
                <w:color w:val="000000"/>
                <w:sz w:val="20"/>
              </w:rPr>
              <w:t xml:space="preserve"> </w:t>
            </w:r>
          </w:p>
        </w:tc>
      </w:tr>
      <w:tr w:rsidR="003116D1" w14:paraId="037261BC" w14:textId="77777777">
        <w:trPr>
          <w:cantSplit/>
          <w:jc w:val="center"/>
        </w:trPr>
        <w:tc>
          <w:tcPr>
            <w:tcW w:w="3042" w:type="pct"/>
            <w:shd w:val="clear" w:color="auto" w:fill="FFFFFF"/>
            <w:tcMar>
              <w:top w:w="15" w:type="dxa"/>
              <w:left w:w="0" w:type="dxa"/>
              <w:bottom w:w="0" w:type="dxa"/>
              <w:right w:w="15" w:type="dxa"/>
            </w:tcMar>
            <w:vAlign w:val="bottom"/>
          </w:tcPr>
          <w:p w14:paraId="01D48758" w14:textId="77777777" w:rsidR="009A5AEC" w:rsidRDefault="00000000">
            <w:pPr>
              <w:pStyle w:val="Normal0"/>
              <w:keepNext/>
              <w:rPr>
                <w:color w:val="000000"/>
                <w:sz w:val="20"/>
              </w:rPr>
            </w:pPr>
            <w:r>
              <w:rPr>
                <w:color w:val="000000"/>
                <w:sz w:val="20"/>
              </w:rPr>
              <w:t xml:space="preserve"> OPERATING  INCOME (LOSS)</w:t>
            </w:r>
          </w:p>
        </w:tc>
        <w:tc>
          <w:tcPr>
            <w:tcW w:w="84" w:type="pct"/>
            <w:shd w:val="clear" w:color="auto" w:fill="FFFFFF"/>
            <w:tcMar>
              <w:top w:w="15" w:type="dxa"/>
              <w:left w:w="0" w:type="dxa"/>
              <w:bottom w:w="0" w:type="dxa"/>
              <w:right w:w="15" w:type="dxa"/>
            </w:tcMar>
            <w:vAlign w:val="bottom"/>
          </w:tcPr>
          <w:p w14:paraId="5158FB7B"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5DB48696" w14:textId="77777777" w:rsidR="009A5AEC" w:rsidRDefault="00000000">
            <w:pPr>
              <w:pStyle w:val="Normal0"/>
              <w:rPr>
                <w:color w:val="000000"/>
                <w:sz w:val="20"/>
              </w:rPr>
            </w:pPr>
            <w:r>
              <w:rPr>
                <w:color w:val="000000"/>
                <w:sz w:val="20"/>
              </w:rPr>
              <w:t xml:space="preserve"> </w:t>
            </w:r>
          </w:p>
        </w:tc>
        <w:tc>
          <w:tcPr>
            <w:tcW w:w="794" w:type="pct"/>
            <w:tcBorders>
              <w:top w:val="single" w:sz="2" w:space="0" w:color="000000"/>
            </w:tcBorders>
            <w:shd w:val="clear" w:color="auto" w:fill="FFFFFF"/>
            <w:noWrap/>
            <w:tcMar>
              <w:top w:w="15" w:type="dxa"/>
              <w:left w:w="0" w:type="dxa"/>
              <w:bottom w:w="0" w:type="dxa"/>
              <w:right w:w="15" w:type="dxa"/>
            </w:tcMar>
            <w:vAlign w:val="bottom"/>
          </w:tcPr>
          <w:p w14:paraId="719BFE5B" w14:textId="77777777" w:rsidR="009A5AEC" w:rsidRDefault="00000000">
            <w:pPr>
              <w:pStyle w:val="Normal0"/>
              <w:jc w:val="right"/>
              <w:rPr>
                <w:color w:val="000000"/>
                <w:sz w:val="20"/>
              </w:rPr>
            </w:pPr>
            <w:r>
              <w:rPr>
                <w:color w:val="000000"/>
                <w:sz w:val="20"/>
              </w:rPr>
              <w:t>121</w:t>
            </w:r>
          </w:p>
        </w:tc>
        <w:tc>
          <w:tcPr>
            <w:tcW w:w="50" w:type="pct"/>
            <w:shd w:val="clear" w:color="auto" w:fill="FFFFFF"/>
            <w:noWrap/>
            <w:tcMar>
              <w:top w:w="15" w:type="dxa"/>
              <w:left w:w="0" w:type="dxa"/>
              <w:bottom w:w="0" w:type="dxa"/>
              <w:right w:w="15" w:type="dxa"/>
            </w:tcMar>
            <w:vAlign w:val="bottom"/>
          </w:tcPr>
          <w:p w14:paraId="0879EF69"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48E2367B"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2950F463" w14:textId="77777777" w:rsidR="009A5AEC" w:rsidRDefault="00000000">
            <w:pPr>
              <w:pStyle w:val="Normal0"/>
              <w:rPr>
                <w:color w:val="000000"/>
                <w:sz w:val="20"/>
              </w:rPr>
            </w:pPr>
            <w:r>
              <w:rPr>
                <w:color w:val="000000"/>
                <w:sz w:val="20"/>
              </w:rPr>
              <w:t xml:space="preserve"> </w:t>
            </w:r>
          </w:p>
        </w:tc>
        <w:tc>
          <w:tcPr>
            <w:tcW w:w="794" w:type="pct"/>
            <w:tcBorders>
              <w:top w:val="single" w:sz="2" w:space="0" w:color="000000"/>
            </w:tcBorders>
            <w:shd w:val="clear" w:color="auto" w:fill="FFFFFF"/>
            <w:noWrap/>
            <w:tcMar>
              <w:top w:w="15" w:type="dxa"/>
              <w:left w:w="0" w:type="dxa"/>
              <w:bottom w:w="0" w:type="dxa"/>
              <w:right w:w="15" w:type="dxa"/>
            </w:tcMar>
            <w:vAlign w:val="bottom"/>
          </w:tcPr>
          <w:p w14:paraId="21BC3C6E" w14:textId="77777777" w:rsidR="009A5AEC" w:rsidRDefault="00000000">
            <w:pPr>
              <w:pStyle w:val="Normal0"/>
              <w:jc w:val="right"/>
              <w:rPr>
                <w:color w:val="000000"/>
                <w:sz w:val="20"/>
              </w:rPr>
            </w:pPr>
            <w:r>
              <w:rPr>
                <w:color w:val="000000"/>
                <w:sz w:val="20"/>
              </w:rPr>
              <w:t>(746</w:t>
            </w:r>
          </w:p>
        </w:tc>
        <w:tc>
          <w:tcPr>
            <w:tcW w:w="50" w:type="pct"/>
            <w:shd w:val="clear" w:color="auto" w:fill="FFFFFF"/>
            <w:noWrap/>
            <w:tcMar>
              <w:top w:w="15" w:type="dxa"/>
              <w:left w:w="0" w:type="dxa"/>
              <w:bottom w:w="0" w:type="dxa"/>
              <w:right w:w="15" w:type="dxa"/>
            </w:tcMar>
            <w:vAlign w:val="bottom"/>
          </w:tcPr>
          <w:p w14:paraId="4D66FFDB" w14:textId="77777777" w:rsidR="009A5AEC" w:rsidRDefault="00000000">
            <w:pPr>
              <w:pStyle w:val="Normal0"/>
              <w:rPr>
                <w:color w:val="000000"/>
                <w:sz w:val="20"/>
              </w:rPr>
            </w:pPr>
            <w:r>
              <w:rPr>
                <w:color w:val="000000"/>
                <w:sz w:val="20"/>
              </w:rPr>
              <w:t>)</w:t>
            </w:r>
          </w:p>
        </w:tc>
      </w:tr>
      <w:tr w:rsidR="003116D1" w14:paraId="75ECA50D" w14:textId="77777777">
        <w:trPr>
          <w:cantSplit/>
          <w:jc w:val="center"/>
        </w:trPr>
        <w:tc>
          <w:tcPr>
            <w:tcW w:w="3042" w:type="pct"/>
            <w:shd w:val="clear" w:color="auto" w:fill="FFFFFF"/>
            <w:tcMar>
              <w:top w:w="15" w:type="dxa"/>
              <w:left w:w="0" w:type="dxa"/>
              <w:bottom w:w="0" w:type="dxa"/>
              <w:right w:w="15" w:type="dxa"/>
            </w:tcMar>
            <w:vAlign w:val="bottom"/>
          </w:tcPr>
          <w:p w14:paraId="561C0F5C" w14:textId="77777777" w:rsidR="009A5AEC" w:rsidRDefault="00000000">
            <w:pPr>
              <w:pStyle w:val="Normal0"/>
              <w:keepNext/>
              <w:ind w:left="274"/>
              <w:rPr>
                <w:color w:val="000000"/>
                <w:sz w:val="20"/>
              </w:rPr>
            </w:pPr>
            <w:r>
              <w:rPr>
                <w:color w:val="000000"/>
                <w:sz w:val="20"/>
              </w:rPr>
              <w:t xml:space="preserve"> Gain on equity investment in unconsolidated subsidiary</w:t>
            </w:r>
          </w:p>
        </w:tc>
        <w:tc>
          <w:tcPr>
            <w:tcW w:w="84" w:type="pct"/>
            <w:shd w:val="clear" w:color="auto" w:fill="FFFFFF"/>
            <w:tcMar>
              <w:top w:w="15" w:type="dxa"/>
              <w:left w:w="0" w:type="dxa"/>
              <w:bottom w:w="0" w:type="dxa"/>
              <w:right w:w="15" w:type="dxa"/>
            </w:tcMar>
            <w:vAlign w:val="bottom"/>
          </w:tcPr>
          <w:p w14:paraId="0D8620C1"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6DA347E7" w14:textId="77777777" w:rsidR="009A5AEC" w:rsidRDefault="00000000">
            <w:pPr>
              <w:pStyle w:val="Normal0"/>
              <w:rPr>
                <w:color w:val="000000"/>
                <w:sz w:val="20"/>
              </w:rPr>
            </w:pPr>
            <w:r>
              <w:rPr>
                <w:color w:val="000000"/>
                <w:sz w:val="20"/>
              </w:rPr>
              <w:t xml:space="preserve"> </w:t>
            </w:r>
          </w:p>
        </w:tc>
        <w:tc>
          <w:tcPr>
            <w:tcW w:w="794" w:type="pct"/>
            <w:shd w:val="clear" w:color="auto" w:fill="FFFFFF"/>
            <w:noWrap/>
            <w:tcMar>
              <w:top w:w="15" w:type="dxa"/>
              <w:left w:w="0" w:type="dxa"/>
              <w:bottom w:w="0" w:type="dxa"/>
              <w:right w:w="15" w:type="dxa"/>
            </w:tcMar>
            <w:vAlign w:val="bottom"/>
          </w:tcPr>
          <w:p w14:paraId="2C0A672C" w14:textId="77777777" w:rsidR="009A5AEC" w:rsidRDefault="00000000">
            <w:pPr>
              <w:pStyle w:val="Normal0"/>
              <w:jc w:val="right"/>
              <w:rPr>
                <w:color w:val="000000"/>
                <w:sz w:val="20"/>
              </w:rPr>
            </w:pPr>
            <w:r>
              <w:rPr>
                <w:color w:val="000000"/>
                <w:sz w:val="20"/>
              </w:rPr>
              <w:t>—</w:t>
            </w:r>
          </w:p>
        </w:tc>
        <w:tc>
          <w:tcPr>
            <w:tcW w:w="50" w:type="pct"/>
            <w:shd w:val="clear" w:color="auto" w:fill="FFFFFF"/>
            <w:noWrap/>
            <w:tcMar>
              <w:top w:w="15" w:type="dxa"/>
              <w:left w:w="0" w:type="dxa"/>
              <w:bottom w:w="0" w:type="dxa"/>
              <w:right w:w="15" w:type="dxa"/>
            </w:tcMar>
            <w:vAlign w:val="bottom"/>
          </w:tcPr>
          <w:p w14:paraId="2624DF5F"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6F9A17ED"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0594C5D4" w14:textId="77777777" w:rsidR="009A5AEC" w:rsidRDefault="00000000">
            <w:pPr>
              <w:pStyle w:val="Normal0"/>
              <w:rPr>
                <w:color w:val="000000"/>
                <w:sz w:val="20"/>
              </w:rPr>
            </w:pPr>
            <w:r>
              <w:rPr>
                <w:color w:val="000000"/>
                <w:sz w:val="20"/>
              </w:rPr>
              <w:t xml:space="preserve"> </w:t>
            </w:r>
          </w:p>
        </w:tc>
        <w:tc>
          <w:tcPr>
            <w:tcW w:w="794" w:type="pct"/>
            <w:shd w:val="clear" w:color="auto" w:fill="FFFFFF"/>
            <w:noWrap/>
            <w:tcMar>
              <w:top w:w="15" w:type="dxa"/>
              <w:left w:w="0" w:type="dxa"/>
              <w:bottom w:w="0" w:type="dxa"/>
              <w:right w:w="15" w:type="dxa"/>
            </w:tcMar>
            <w:vAlign w:val="bottom"/>
          </w:tcPr>
          <w:p w14:paraId="37760AB1" w14:textId="77777777" w:rsidR="009A5AEC" w:rsidRDefault="00000000">
            <w:pPr>
              <w:pStyle w:val="Normal0"/>
              <w:jc w:val="right"/>
              <w:rPr>
                <w:color w:val="000000"/>
                <w:sz w:val="20"/>
              </w:rPr>
            </w:pPr>
            <w:r>
              <w:rPr>
                <w:color w:val="000000"/>
                <w:sz w:val="20"/>
              </w:rPr>
              <w:t>60,205</w:t>
            </w:r>
          </w:p>
        </w:tc>
        <w:tc>
          <w:tcPr>
            <w:tcW w:w="50" w:type="pct"/>
            <w:shd w:val="clear" w:color="auto" w:fill="FFFFFF"/>
            <w:noWrap/>
            <w:tcMar>
              <w:top w:w="15" w:type="dxa"/>
              <w:left w:w="0" w:type="dxa"/>
              <w:bottom w:w="0" w:type="dxa"/>
              <w:right w:w="15" w:type="dxa"/>
            </w:tcMar>
            <w:vAlign w:val="bottom"/>
          </w:tcPr>
          <w:p w14:paraId="4684F660" w14:textId="77777777" w:rsidR="009A5AEC" w:rsidRDefault="00000000">
            <w:pPr>
              <w:pStyle w:val="Normal0"/>
              <w:rPr>
                <w:color w:val="000000"/>
                <w:sz w:val="20"/>
              </w:rPr>
            </w:pPr>
            <w:r>
              <w:rPr>
                <w:color w:val="000000"/>
                <w:sz w:val="20"/>
              </w:rPr>
              <w:t xml:space="preserve"> </w:t>
            </w:r>
          </w:p>
        </w:tc>
      </w:tr>
      <w:tr w:rsidR="003116D1" w14:paraId="127329D7" w14:textId="77777777">
        <w:trPr>
          <w:cantSplit/>
          <w:jc w:val="center"/>
        </w:trPr>
        <w:tc>
          <w:tcPr>
            <w:tcW w:w="3042" w:type="pct"/>
            <w:shd w:val="clear" w:color="auto" w:fill="FFFFFF"/>
            <w:tcMar>
              <w:top w:w="15" w:type="dxa"/>
              <w:left w:w="0" w:type="dxa"/>
              <w:bottom w:w="0" w:type="dxa"/>
              <w:right w:w="15" w:type="dxa"/>
            </w:tcMar>
            <w:vAlign w:val="bottom"/>
          </w:tcPr>
          <w:p w14:paraId="1284DE4F" w14:textId="77777777" w:rsidR="009A5AEC" w:rsidRDefault="00000000">
            <w:pPr>
              <w:pStyle w:val="Normal0"/>
              <w:keepNext/>
              <w:ind w:left="274"/>
              <w:rPr>
                <w:color w:val="000000"/>
                <w:sz w:val="20"/>
              </w:rPr>
            </w:pPr>
            <w:r>
              <w:rPr>
                <w:color w:val="000000"/>
                <w:sz w:val="20"/>
              </w:rPr>
              <w:t xml:space="preserve"> Investment loss</w:t>
            </w:r>
          </w:p>
        </w:tc>
        <w:tc>
          <w:tcPr>
            <w:tcW w:w="84" w:type="pct"/>
            <w:shd w:val="clear" w:color="auto" w:fill="FFFFFF"/>
            <w:tcMar>
              <w:top w:w="15" w:type="dxa"/>
              <w:left w:w="0" w:type="dxa"/>
              <w:bottom w:w="0" w:type="dxa"/>
              <w:right w:w="15" w:type="dxa"/>
            </w:tcMar>
            <w:vAlign w:val="bottom"/>
          </w:tcPr>
          <w:p w14:paraId="0E513679"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5CA37528" w14:textId="77777777" w:rsidR="009A5AEC" w:rsidRDefault="00000000">
            <w:pPr>
              <w:pStyle w:val="Normal0"/>
              <w:rPr>
                <w:color w:val="000000"/>
                <w:sz w:val="20"/>
              </w:rPr>
            </w:pPr>
            <w:r>
              <w:rPr>
                <w:color w:val="000000"/>
                <w:sz w:val="20"/>
              </w:rPr>
              <w:t xml:space="preserve"> </w:t>
            </w:r>
          </w:p>
        </w:tc>
        <w:tc>
          <w:tcPr>
            <w:tcW w:w="794" w:type="pct"/>
            <w:shd w:val="clear" w:color="auto" w:fill="FFFFFF"/>
            <w:noWrap/>
            <w:tcMar>
              <w:top w:w="15" w:type="dxa"/>
              <w:left w:w="0" w:type="dxa"/>
              <w:bottom w:w="0" w:type="dxa"/>
              <w:right w:w="15" w:type="dxa"/>
            </w:tcMar>
            <w:vAlign w:val="bottom"/>
          </w:tcPr>
          <w:p w14:paraId="05D25807" w14:textId="77777777" w:rsidR="009A5AEC" w:rsidRDefault="00000000">
            <w:pPr>
              <w:pStyle w:val="Normal0"/>
              <w:jc w:val="right"/>
              <w:rPr>
                <w:color w:val="000000"/>
                <w:sz w:val="20"/>
              </w:rPr>
            </w:pPr>
            <w:r>
              <w:rPr>
                <w:color w:val="000000"/>
                <w:sz w:val="20"/>
              </w:rPr>
              <w:t>(2,121</w:t>
            </w:r>
          </w:p>
        </w:tc>
        <w:tc>
          <w:tcPr>
            <w:tcW w:w="50" w:type="pct"/>
            <w:shd w:val="clear" w:color="auto" w:fill="FFFFFF"/>
            <w:noWrap/>
            <w:tcMar>
              <w:top w:w="15" w:type="dxa"/>
              <w:left w:w="0" w:type="dxa"/>
              <w:bottom w:w="0" w:type="dxa"/>
              <w:right w:w="15" w:type="dxa"/>
            </w:tcMar>
            <w:vAlign w:val="bottom"/>
          </w:tcPr>
          <w:p w14:paraId="7187A582" w14:textId="77777777" w:rsidR="009A5AEC" w:rsidRDefault="00000000">
            <w:pPr>
              <w:pStyle w:val="Normal0"/>
              <w:rPr>
                <w:color w:val="000000"/>
                <w:sz w:val="20"/>
              </w:rPr>
            </w:pPr>
            <w:r>
              <w:rPr>
                <w:color w:val="000000"/>
                <w:sz w:val="20"/>
              </w:rPr>
              <w:t>)</w:t>
            </w:r>
          </w:p>
        </w:tc>
        <w:tc>
          <w:tcPr>
            <w:tcW w:w="84" w:type="pct"/>
            <w:shd w:val="clear" w:color="auto" w:fill="FFFFFF"/>
            <w:tcMar>
              <w:top w:w="15" w:type="dxa"/>
              <w:left w:w="0" w:type="dxa"/>
              <w:bottom w:w="0" w:type="dxa"/>
              <w:right w:w="15" w:type="dxa"/>
            </w:tcMar>
            <w:vAlign w:val="bottom"/>
          </w:tcPr>
          <w:p w14:paraId="7BE5696E"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2B0A8EE2" w14:textId="77777777" w:rsidR="009A5AEC" w:rsidRDefault="00000000">
            <w:pPr>
              <w:pStyle w:val="Normal0"/>
              <w:rPr>
                <w:color w:val="000000"/>
                <w:sz w:val="20"/>
              </w:rPr>
            </w:pPr>
            <w:r>
              <w:rPr>
                <w:color w:val="000000"/>
                <w:sz w:val="20"/>
              </w:rPr>
              <w:t xml:space="preserve"> </w:t>
            </w:r>
          </w:p>
        </w:tc>
        <w:tc>
          <w:tcPr>
            <w:tcW w:w="794" w:type="pct"/>
            <w:shd w:val="clear" w:color="auto" w:fill="FFFFFF"/>
            <w:noWrap/>
            <w:tcMar>
              <w:top w:w="15" w:type="dxa"/>
              <w:left w:w="0" w:type="dxa"/>
              <w:bottom w:w="0" w:type="dxa"/>
              <w:right w:w="15" w:type="dxa"/>
            </w:tcMar>
            <w:vAlign w:val="bottom"/>
          </w:tcPr>
          <w:p w14:paraId="4F18398F" w14:textId="77777777" w:rsidR="009A5AEC" w:rsidRDefault="00000000">
            <w:pPr>
              <w:pStyle w:val="Normal0"/>
              <w:jc w:val="right"/>
              <w:rPr>
                <w:color w:val="000000"/>
                <w:sz w:val="20"/>
              </w:rPr>
            </w:pPr>
            <w:r>
              <w:rPr>
                <w:color w:val="000000"/>
                <w:sz w:val="20"/>
              </w:rPr>
              <w:t>(18,867</w:t>
            </w:r>
          </w:p>
        </w:tc>
        <w:tc>
          <w:tcPr>
            <w:tcW w:w="50" w:type="pct"/>
            <w:shd w:val="clear" w:color="auto" w:fill="FFFFFF"/>
            <w:noWrap/>
            <w:tcMar>
              <w:top w:w="15" w:type="dxa"/>
              <w:left w:w="0" w:type="dxa"/>
              <w:bottom w:w="0" w:type="dxa"/>
              <w:right w:w="15" w:type="dxa"/>
            </w:tcMar>
            <w:vAlign w:val="bottom"/>
          </w:tcPr>
          <w:p w14:paraId="6F650B66" w14:textId="77777777" w:rsidR="009A5AEC" w:rsidRDefault="00000000">
            <w:pPr>
              <w:pStyle w:val="Normal0"/>
              <w:rPr>
                <w:color w:val="000000"/>
                <w:sz w:val="20"/>
              </w:rPr>
            </w:pPr>
            <w:r>
              <w:rPr>
                <w:color w:val="000000"/>
                <w:sz w:val="20"/>
              </w:rPr>
              <w:t>)</w:t>
            </w:r>
          </w:p>
        </w:tc>
      </w:tr>
      <w:tr w:rsidR="003116D1" w14:paraId="6FC00F42" w14:textId="77777777">
        <w:trPr>
          <w:cantSplit/>
          <w:jc w:val="center"/>
        </w:trPr>
        <w:tc>
          <w:tcPr>
            <w:tcW w:w="3042" w:type="pct"/>
            <w:shd w:val="clear" w:color="auto" w:fill="FFFFFF"/>
            <w:tcMar>
              <w:top w:w="15" w:type="dxa"/>
              <w:left w:w="0" w:type="dxa"/>
              <w:bottom w:w="0" w:type="dxa"/>
              <w:right w:w="15" w:type="dxa"/>
            </w:tcMar>
            <w:vAlign w:val="bottom"/>
          </w:tcPr>
          <w:p w14:paraId="6718D23A" w14:textId="77777777" w:rsidR="009A5AEC" w:rsidRDefault="00000000">
            <w:pPr>
              <w:pStyle w:val="Normal0"/>
              <w:keepNext/>
              <w:ind w:left="274"/>
              <w:rPr>
                <w:color w:val="000000"/>
                <w:sz w:val="20"/>
              </w:rPr>
            </w:pPr>
            <w:r>
              <w:rPr>
                <w:color w:val="000000"/>
                <w:sz w:val="20"/>
              </w:rPr>
              <w:t xml:space="preserve"> Other income, net</w:t>
            </w:r>
          </w:p>
        </w:tc>
        <w:tc>
          <w:tcPr>
            <w:tcW w:w="84" w:type="pct"/>
            <w:shd w:val="clear" w:color="auto" w:fill="FFFFFF"/>
            <w:tcMar>
              <w:top w:w="15" w:type="dxa"/>
              <w:left w:w="0" w:type="dxa"/>
              <w:bottom w:w="0" w:type="dxa"/>
              <w:right w:w="15" w:type="dxa"/>
            </w:tcMar>
            <w:vAlign w:val="bottom"/>
          </w:tcPr>
          <w:p w14:paraId="3E45F2F5"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1C866C76" w14:textId="77777777" w:rsidR="009A5AEC" w:rsidRDefault="00000000">
            <w:pPr>
              <w:pStyle w:val="Normal0"/>
              <w:rPr>
                <w:color w:val="000000"/>
                <w:sz w:val="20"/>
              </w:rPr>
            </w:pPr>
            <w:r>
              <w:rPr>
                <w:color w:val="000000"/>
                <w:sz w:val="20"/>
              </w:rPr>
              <w:t xml:space="preserve"> </w:t>
            </w:r>
          </w:p>
        </w:tc>
        <w:tc>
          <w:tcPr>
            <w:tcW w:w="794" w:type="pct"/>
            <w:tcBorders>
              <w:bottom w:val="single" w:sz="2" w:space="0" w:color="000000"/>
            </w:tcBorders>
            <w:shd w:val="clear" w:color="auto" w:fill="FFFFFF"/>
            <w:noWrap/>
            <w:tcMar>
              <w:top w:w="15" w:type="dxa"/>
              <w:left w:w="0" w:type="dxa"/>
              <w:bottom w:w="0" w:type="dxa"/>
              <w:right w:w="15" w:type="dxa"/>
            </w:tcMar>
            <w:vAlign w:val="bottom"/>
          </w:tcPr>
          <w:p w14:paraId="6BFB9AF8" w14:textId="77777777" w:rsidR="009A5AEC" w:rsidRDefault="00000000">
            <w:pPr>
              <w:pStyle w:val="Normal0"/>
              <w:jc w:val="right"/>
              <w:rPr>
                <w:color w:val="000000"/>
                <w:sz w:val="20"/>
              </w:rPr>
            </w:pPr>
            <w:r>
              <w:rPr>
                <w:color w:val="000000"/>
                <w:sz w:val="20"/>
              </w:rPr>
              <w:t>38</w:t>
            </w:r>
          </w:p>
        </w:tc>
        <w:tc>
          <w:tcPr>
            <w:tcW w:w="50" w:type="pct"/>
            <w:shd w:val="clear" w:color="auto" w:fill="FFFFFF"/>
            <w:noWrap/>
            <w:tcMar>
              <w:top w:w="15" w:type="dxa"/>
              <w:left w:w="0" w:type="dxa"/>
              <w:bottom w:w="0" w:type="dxa"/>
              <w:right w:w="15" w:type="dxa"/>
            </w:tcMar>
            <w:vAlign w:val="bottom"/>
          </w:tcPr>
          <w:p w14:paraId="2E750D76"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5B923AF6"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13ECDA11" w14:textId="77777777" w:rsidR="009A5AEC" w:rsidRDefault="00000000">
            <w:pPr>
              <w:pStyle w:val="Normal0"/>
              <w:rPr>
                <w:color w:val="000000"/>
                <w:sz w:val="20"/>
              </w:rPr>
            </w:pPr>
            <w:r>
              <w:rPr>
                <w:color w:val="000000"/>
                <w:sz w:val="20"/>
              </w:rPr>
              <w:t xml:space="preserve"> </w:t>
            </w:r>
          </w:p>
        </w:tc>
        <w:tc>
          <w:tcPr>
            <w:tcW w:w="794" w:type="pct"/>
            <w:tcBorders>
              <w:bottom w:val="single" w:sz="2" w:space="0" w:color="000000"/>
            </w:tcBorders>
            <w:shd w:val="clear" w:color="auto" w:fill="FFFFFF"/>
            <w:noWrap/>
            <w:tcMar>
              <w:top w:w="15" w:type="dxa"/>
              <w:left w:w="0" w:type="dxa"/>
              <w:bottom w:w="0" w:type="dxa"/>
              <w:right w:w="15" w:type="dxa"/>
            </w:tcMar>
            <w:vAlign w:val="bottom"/>
          </w:tcPr>
          <w:p w14:paraId="00768AD5" w14:textId="77777777" w:rsidR="009A5AEC" w:rsidRDefault="00000000">
            <w:pPr>
              <w:pStyle w:val="Normal0"/>
              <w:jc w:val="right"/>
              <w:rPr>
                <w:color w:val="000000"/>
                <w:sz w:val="20"/>
              </w:rPr>
            </w:pPr>
            <w:r>
              <w:rPr>
                <w:color w:val="000000"/>
                <w:sz w:val="20"/>
              </w:rPr>
              <w:t>237</w:t>
            </w:r>
          </w:p>
        </w:tc>
        <w:tc>
          <w:tcPr>
            <w:tcW w:w="50" w:type="pct"/>
            <w:shd w:val="clear" w:color="auto" w:fill="FFFFFF"/>
            <w:noWrap/>
            <w:tcMar>
              <w:top w:w="15" w:type="dxa"/>
              <w:left w:w="0" w:type="dxa"/>
              <w:bottom w:w="0" w:type="dxa"/>
              <w:right w:w="15" w:type="dxa"/>
            </w:tcMar>
            <w:vAlign w:val="bottom"/>
          </w:tcPr>
          <w:p w14:paraId="5EB8B9E3" w14:textId="77777777" w:rsidR="009A5AEC" w:rsidRDefault="00000000">
            <w:pPr>
              <w:pStyle w:val="Normal0"/>
              <w:rPr>
                <w:color w:val="000000"/>
                <w:sz w:val="20"/>
              </w:rPr>
            </w:pPr>
            <w:r>
              <w:rPr>
                <w:color w:val="000000"/>
                <w:sz w:val="20"/>
              </w:rPr>
              <w:t xml:space="preserve"> </w:t>
            </w:r>
          </w:p>
        </w:tc>
      </w:tr>
      <w:tr w:rsidR="003116D1" w14:paraId="1E30620F" w14:textId="77777777">
        <w:trPr>
          <w:cantSplit/>
          <w:jc w:val="center"/>
        </w:trPr>
        <w:tc>
          <w:tcPr>
            <w:tcW w:w="3042" w:type="pct"/>
            <w:shd w:val="clear" w:color="auto" w:fill="FFFFFF"/>
            <w:tcMar>
              <w:top w:w="15" w:type="dxa"/>
              <w:left w:w="0" w:type="dxa"/>
              <w:bottom w:w="0" w:type="dxa"/>
              <w:right w:w="15" w:type="dxa"/>
            </w:tcMar>
            <w:vAlign w:val="bottom"/>
          </w:tcPr>
          <w:p w14:paraId="36163B75" w14:textId="77777777" w:rsidR="009A5AEC" w:rsidRDefault="00000000">
            <w:pPr>
              <w:pStyle w:val="Normal0"/>
              <w:keepNext/>
              <w:rPr>
                <w:color w:val="000000"/>
                <w:sz w:val="20"/>
              </w:rPr>
            </w:pPr>
            <w:r>
              <w:rPr>
                <w:color w:val="000000"/>
                <w:sz w:val="20"/>
              </w:rPr>
              <w:t xml:space="preserve"> (LOSS) INCOME BEFORE INCOME TAXES</w:t>
            </w:r>
          </w:p>
        </w:tc>
        <w:tc>
          <w:tcPr>
            <w:tcW w:w="84" w:type="pct"/>
            <w:shd w:val="clear" w:color="auto" w:fill="FFFFFF"/>
            <w:tcMar>
              <w:top w:w="15" w:type="dxa"/>
              <w:left w:w="0" w:type="dxa"/>
              <w:bottom w:w="0" w:type="dxa"/>
              <w:right w:w="15" w:type="dxa"/>
            </w:tcMar>
            <w:vAlign w:val="bottom"/>
          </w:tcPr>
          <w:p w14:paraId="0DF3C150"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5B4BCA51" w14:textId="77777777" w:rsidR="009A5AEC" w:rsidRDefault="00000000">
            <w:pPr>
              <w:pStyle w:val="Normal0"/>
              <w:rPr>
                <w:color w:val="000000"/>
                <w:sz w:val="20"/>
              </w:rPr>
            </w:pPr>
            <w:r>
              <w:rPr>
                <w:color w:val="000000"/>
                <w:sz w:val="20"/>
              </w:rPr>
              <w:t xml:space="preserve"> </w:t>
            </w:r>
          </w:p>
        </w:tc>
        <w:tc>
          <w:tcPr>
            <w:tcW w:w="794" w:type="pct"/>
            <w:tcBorders>
              <w:top w:val="single" w:sz="2" w:space="0" w:color="000000"/>
            </w:tcBorders>
            <w:shd w:val="clear" w:color="auto" w:fill="FFFFFF"/>
            <w:noWrap/>
            <w:tcMar>
              <w:top w:w="15" w:type="dxa"/>
              <w:left w:w="0" w:type="dxa"/>
              <w:bottom w:w="0" w:type="dxa"/>
              <w:right w:w="15" w:type="dxa"/>
            </w:tcMar>
            <w:vAlign w:val="bottom"/>
          </w:tcPr>
          <w:p w14:paraId="059D5E5F" w14:textId="77777777" w:rsidR="009A5AEC" w:rsidRDefault="00000000">
            <w:pPr>
              <w:pStyle w:val="Normal0"/>
              <w:jc w:val="right"/>
              <w:rPr>
                <w:color w:val="000000"/>
                <w:sz w:val="20"/>
              </w:rPr>
            </w:pPr>
            <w:r>
              <w:rPr>
                <w:color w:val="000000"/>
                <w:sz w:val="20"/>
              </w:rPr>
              <w:t>(1,962</w:t>
            </w:r>
          </w:p>
        </w:tc>
        <w:tc>
          <w:tcPr>
            <w:tcW w:w="50" w:type="pct"/>
            <w:shd w:val="clear" w:color="auto" w:fill="FFFFFF"/>
            <w:noWrap/>
            <w:tcMar>
              <w:top w:w="15" w:type="dxa"/>
              <w:left w:w="0" w:type="dxa"/>
              <w:bottom w:w="0" w:type="dxa"/>
              <w:right w:w="15" w:type="dxa"/>
            </w:tcMar>
            <w:vAlign w:val="bottom"/>
          </w:tcPr>
          <w:p w14:paraId="013A06EE" w14:textId="77777777" w:rsidR="009A5AEC" w:rsidRDefault="00000000">
            <w:pPr>
              <w:pStyle w:val="Normal0"/>
              <w:rPr>
                <w:color w:val="000000"/>
                <w:sz w:val="20"/>
              </w:rPr>
            </w:pPr>
            <w:r>
              <w:rPr>
                <w:color w:val="000000"/>
                <w:sz w:val="20"/>
              </w:rPr>
              <w:t>)</w:t>
            </w:r>
          </w:p>
        </w:tc>
        <w:tc>
          <w:tcPr>
            <w:tcW w:w="84" w:type="pct"/>
            <w:shd w:val="clear" w:color="auto" w:fill="FFFFFF"/>
            <w:tcMar>
              <w:top w:w="15" w:type="dxa"/>
              <w:left w:w="0" w:type="dxa"/>
              <w:bottom w:w="0" w:type="dxa"/>
              <w:right w:w="15" w:type="dxa"/>
            </w:tcMar>
            <w:vAlign w:val="bottom"/>
          </w:tcPr>
          <w:p w14:paraId="2A289694"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7225757E" w14:textId="77777777" w:rsidR="009A5AEC" w:rsidRDefault="00000000">
            <w:pPr>
              <w:pStyle w:val="Normal0"/>
              <w:rPr>
                <w:color w:val="000000"/>
                <w:sz w:val="20"/>
              </w:rPr>
            </w:pPr>
            <w:r>
              <w:rPr>
                <w:color w:val="000000"/>
                <w:sz w:val="20"/>
              </w:rPr>
              <w:t xml:space="preserve"> </w:t>
            </w:r>
          </w:p>
        </w:tc>
        <w:tc>
          <w:tcPr>
            <w:tcW w:w="794" w:type="pct"/>
            <w:tcBorders>
              <w:top w:val="single" w:sz="2" w:space="0" w:color="000000"/>
            </w:tcBorders>
            <w:shd w:val="clear" w:color="auto" w:fill="FFFFFF"/>
            <w:noWrap/>
            <w:tcMar>
              <w:top w:w="15" w:type="dxa"/>
              <w:left w:w="0" w:type="dxa"/>
              <w:bottom w:w="0" w:type="dxa"/>
              <w:right w:w="15" w:type="dxa"/>
            </w:tcMar>
            <w:vAlign w:val="bottom"/>
          </w:tcPr>
          <w:p w14:paraId="2219644A" w14:textId="77777777" w:rsidR="009A5AEC" w:rsidRDefault="00000000">
            <w:pPr>
              <w:pStyle w:val="Normal0"/>
              <w:jc w:val="right"/>
              <w:rPr>
                <w:color w:val="000000"/>
                <w:sz w:val="20"/>
              </w:rPr>
            </w:pPr>
            <w:r>
              <w:rPr>
                <w:color w:val="000000"/>
                <w:sz w:val="20"/>
              </w:rPr>
              <w:t>40,829</w:t>
            </w:r>
          </w:p>
        </w:tc>
        <w:tc>
          <w:tcPr>
            <w:tcW w:w="50" w:type="pct"/>
            <w:shd w:val="clear" w:color="auto" w:fill="FFFFFF"/>
            <w:noWrap/>
            <w:tcMar>
              <w:top w:w="15" w:type="dxa"/>
              <w:left w:w="0" w:type="dxa"/>
              <w:bottom w:w="0" w:type="dxa"/>
              <w:right w:w="15" w:type="dxa"/>
            </w:tcMar>
            <w:vAlign w:val="bottom"/>
          </w:tcPr>
          <w:p w14:paraId="43293057" w14:textId="77777777" w:rsidR="009A5AEC" w:rsidRDefault="00000000">
            <w:pPr>
              <w:pStyle w:val="Normal0"/>
              <w:rPr>
                <w:color w:val="000000"/>
                <w:sz w:val="20"/>
              </w:rPr>
            </w:pPr>
            <w:r>
              <w:rPr>
                <w:color w:val="000000"/>
                <w:sz w:val="20"/>
              </w:rPr>
              <w:t xml:space="preserve"> </w:t>
            </w:r>
          </w:p>
        </w:tc>
      </w:tr>
      <w:tr w:rsidR="003116D1" w14:paraId="037786CC" w14:textId="77777777">
        <w:trPr>
          <w:cantSplit/>
          <w:jc w:val="center"/>
        </w:trPr>
        <w:tc>
          <w:tcPr>
            <w:tcW w:w="3042" w:type="pct"/>
            <w:shd w:val="clear" w:color="auto" w:fill="FFFFFF"/>
            <w:tcMar>
              <w:top w:w="15" w:type="dxa"/>
              <w:left w:w="0" w:type="dxa"/>
              <w:bottom w:w="0" w:type="dxa"/>
              <w:right w:w="15" w:type="dxa"/>
            </w:tcMar>
            <w:vAlign w:val="bottom"/>
          </w:tcPr>
          <w:p w14:paraId="412E94DE" w14:textId="77777777" w:rsidR="009A5AEC" w:rsidRDefault="00000000">
            <w:pPr>
              <w:pStyle w:val="Normal0"/>
              <w:keepNext/>
              <w:rPr>
                <w:color w:val="000000"/>
                <w:sz w:val="20"/>
              </w:rPr>
            </w:pPr>
            <w:r>
              <w:rPr>
                <w:color w:val="000000"/>
                <w:sz w:val="20"/>
              </w:rPr>
              <w:t xml:space="preserve"> Income tax (benefit) expense</w:t>
            </w:r>
          </w:p>
        </w:tc>
        <w:tc>
          <w:tcPr>
            <w:tcW w:w="84" w:type="pct"/>
            <w:shd w:val="clear" w:color="auto" w:fill="FFFFFF"/>
            <w:tcMar>
              <w:top w:w="15" w:type="dxa"/>
              <w:left w:w="0" w:type="dxa"/>
              <w:bottom w:w="0" w:type="dxa"/>
              <w:right w:w="15" w:type="dxa"/>
            </w:tcMar>
            <w:vAlign w:val="bottom"/>
          </w:tcPr>
          <w:p w14:paraId="3311E410"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5067045E" w14:textId="77777777" w:rsidR="009A5AEC" w:rsidRDefault="00000000">
            <w:pPr>
              <w:pStyle w:val="Normal0"/>
              <w:rPr>
                <w:color w:val="000000"/>
                <w:sz w:val="20"/>
              </w:rPr>
            </w:pPr>
            <w:r>
              <w:rPr>
                <w:color w:val="000000"/>
                <w:sz w:val="20"/>
              </w:rPr>
              <w:t xml:space="preserve"> </w:t>
            </w:r>
          </w:p>
        </w:tc>
        <w:tc>
          <w:tcPr>
            <w:tcW w:w="794" w:type="pct"/>
            <w:tcBorders>
              <w:bottom w:val="single" w:sz="2" w:space="0" w:color="000000"/>
            </w:tcBorders>
            <w:shd w:val="clear" w:color="auto" w:fill="FFFFFF"/>
            <w:noWrap/>
            <w:tcMar>
              <w:top w:w="15" w:type="dxa"/>
              <w:left w:w="0" w:type="dxa"/>
              <w:bottom w:w="0" w:type="dxa"/>
              <w:right w:w="15" w:type="dxa"/>
            </w:tcMar>
            <w:vAlign w:val="bottom"/>
          </w:tcPr>
          <w:p w14:paraId="1B1F59BA" w14:textId="77777777" w:rsidR="009A5AEC" w:rsidRDefault="00000000">
            <w:pPr>
              <w:pStyle w:val="Normal0"/>
              <w:jc w:val="right"/>
              <w:rPr>
                <w:color w:val="000000"/>
                <w:sz w:val="20"/>
              </w:rPr>
            </w:pPr>
            <w:r>
              <w:rPr>
                <w:color w:val="000000"/>
                <w:sz w:val="20"/>
              </w:rPr>
              <w:t>(503</w:t>
            </w:r>
          </w:p>
        </w:tc>
        <w:tc>
          <w:tcPr>
            <w:tcW w:w="50" w:type="pct"/>
            <w:shd w:val="clear" w:color="auto" w:fill="FFFFFF"/>
            <w:noWrap/>
            <w:tcMar>
              <w:top w:w="15" w:type="dxa"/>
              <w:left w:w="0" w:type="dxa"/>
              <w:bottom w:w="0" w:type="dxa"/>
              <w:right w:w="15" w:type="dxa"/>
            </w:tcMar>
            <w:vAlign w:val="bottom"/>
          </w:tcPr>
          <w:p w14:paraId="1CC1E44D" w14:textId="77777777" w:rsidR="009A5AEC" w:rsidRDefault="00000000">
            <w:pPr>
              <w:pStyle w:val="Normal0"/>
              <w:rPr>
                <w:color w:val="000000"/>
                <w:sz w:val="20"/>
              </w:rPr>
            </w:pPr>
            <w:r>
              <w:rPr>
                <w:color w:val="000000"/>
                <w:sz w:val="20"/>
              </w:rPr>
              <w:t>)</w:t>
            </w:r>
          </w:p>
        </w:tc>
        <w:tc>
          <w:tcPr>
            <w:tcW w:w="84" w:type="pct"/>
            <w:shd w:val="clear" w:color="auto" w:fill="FFFFFF"/>
            <w:tcMar>
              <w:top w:w="15" w:type="dxa"/>
              <w:left w:w="0" w:type="dxa"/>
              <w:bottom w:w="0" w:type="dxa"/>
              <w:right w:w="15" w:type="dxa"/>
            </w:tcMar>
            <w:vAlign w:val="bottom"/>
          </w:tcPr>
          <w:p w14:paraId="55602C7F"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6597EBC3" w14:textId="77777777" w:rsidR="009A5AEC" w:rsidRDefault="00000000">
            <w:pPr>
              <w:pStyle w:val="Normal0"/>
              <w:rPr>
                <w:color w:val="000000"/>
                <w:sz w:val="20"/>
              </w:rPr>
            </w:pPr>
            <w:r>
              <w:rPr>
                <w:color w:val="000000"/>
                <w:sz w:val="20"/>
              </w:rPr>
              <w:t xml:space="preserve"> </w:t>
            </w:r>
          </w:p>
        </w:tc>
        <w:tc>
          <w:tcPr>
            <w:tcW w:w="794" w:type="pct"/>
            <w:tcBorders>
              <w:bottom w:val="single" w:sz="2" w:space="0" w:color="000000"/>
            </w:tcBorders>
            <w:shd w:val="clear" w:color="auto" w:fill="FFFFFF"/>
            <w:noWrap/>
            <w:tcMar>
              <w:top w:w="15" w:type="dxa"/>
              <w:left w:w="0" w:type="dxa"/>
              <w:bottom w:w="0" w:type="dxa"/>
              <w:right w:w="15" w:type="dxa"/>
            </w:tcMar>
            <w:vAlign w:val="bottom"/>
          </w:tcPr>
          <w:p w14:paraId="103C79B3" w14:textId="77777777" w:rsidR="009A5AEC" w:rsidRDefault="00000000">
            <w:pPr>
              <w:pStyle w:val="Normal0"/>
              <w:jc w:val="right"/>
              <w:rPr>
                <w:color w:val="000000"/>
                <w:sz w:val="20"/>
              </w:rPr>
            </w:pPr>
            <w:r>
              <w:rPr>
                <w:color w:val="000000"/>
                <w:sz w:val="20"/>
              </w:rPr>
              <w:t>9,049</w:t>
            </w:r>
          </w:p>
        </w:tc>
        <w:tc>
          <w:tcPr>
            <w:tcW w:w="50" w:type="pct"/>
            <w:shd w:val="clear" w:color="auto" w:fill="FFFFFF"/>
            <w:noWrap/>
            <w:tcMar>
              <w:top w:w="15" w:type="dxa"/>
              <w:left w:w="0" w:type="dxa"/>
              <w:bottom w:w="0" w:type="dxa"/>
              <w:right w:w="15" w:type="dxa"/>
            </w:tcMar>
            <w:vAlign w:val="bottom"/>
          </w:tcPr>
          <w:p w14:paraId="7B15840B" w14:textId="77777777" w:rsidR="009A5AEC" w:rsidRDefault="00000000">
            <w:pPr>
              <w:pStyle w:val="Normal0"/>
              <w:rPr>
                <w:color w:val="000000"/>
                <w:sz w:val="20"/>
              </w:rPr>
            </w:pPr>
            <w:r>
              <w:rPr>
                <w:color w:val="000000"/>
                <w:sz w:val="20"/>
              </w:rPr>
              <w:t xml:space="preserve"> </w:t>
            </w:r>
          </w:p>
        </w:tc>
      </w:tr>
      <w:tr w:rsidR="003116D1" w14:paraId="2A64E62A" w14:textId="77777777">
        <w:trPr>
          <w:cantSplit/>
          <w:jc w:val="center"/>
        </w:trPr>
        <w:tc>
          <w:tcPr>
            <w:tcW w:w="3042" w:type="pct"/>
            <w:shd w:val="clear" w:color="auto" w:fill="FFFFFF"/>
            <w:tcMar>
              <w:top w:w="15" w:type="dxa"/>
              <w:left w:w="0" w:type="dxa"/>
              <w:bottom w:w="0" w:type="dxa"/>
              <w:right w:w="15" w:type="dxa"/>
            </w:tcMar>
            <w:vAlign w:val="bottom"/>
          </w:tcPr>
          <w:p w14:paraId="1B7AE9B2" w14:textId="77777777" w:rsidR="009A5AEC" w:rsidRDefault="00000000">
            <w:pPr>
              <w:pStyle w:val="Normal0"/>
              <w:keepNext/>
              <w:rPr>
                <w:color w:val="000000"/>
                <w:sz w:val="20"/>
              </w:rPr>
            </w:pPr>
            <w:r>
              <w:rPr>
                <w:color w:val="000000"/>
                <w:sz w:val="20"/>
              </w:rPr>
              <w:t xml:space="preserve"> NET (LOSS) INCOME</w:t>
            </w:r>
          </w:p>
        </w:tc>
        <w:tc>
          <w:tcPr>
            <w:tcW w:w="84" w:type="pct"/>
            <w:shd w:val="clear" w:color="auto" w:fill="FFFFFF"/>
            <w:tcMar>
              <w:top w:w="15" w:type="dxa"/>
              <w:left w:w="0" w:type="dxa"/>
              <w:bottom w:w="0" w:type="dxa"/>
              <w:right w:w="15" w:type="dxa"/>
            </w:tcMar>
            <w:vAlign w:val="bottom"/>
          </w:tcPr>
          <w:p w14:paraId="5564243C"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7DCEF214" w14:textId="77777777" w:rsidR="009A5AEC" w:rsidRDefault="00000000">
            <w:pPr>
              <w:pStyle w:val="Normal0"/>
              <w:rPr>
                <w:color w:val="000000"/>
                <w:sz w:val="20"/>
              </w:rPr>
            </w:pPr>
            <w:r>
              <w:rPr>
                <w:color w:val="000000"/>
                <w:sz w:val="20"/>
              </w:rPr>
              <w:t>$</w:t>
            </w:r>
          </w:p>
        </w:tc>
        <w:tc>
          <w:tcPr>
            <w:tcW w:w="794"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0729D2C5" w14:textId="77777777" w:rsidR="009A5AEC" w:rsidRDefault="00000000">
            <w:pPr>
              <w:pStyle w:val="Normal0"/>
              <w:jc w:val="right"/>
              <w:rPr>
                <w:color w:val="000000"/>
                <w:sz w:val="20"/>
              </w:rPr>
            </w:pPr>
            <w:r>
              <w:rPr>
                <w:color w:val="000000"/>
                <w:sz w:val="20"/>
              </w:rPr>
              <w:t>(1,459</w:t>
            </w:r>
          </w:p>
        </w:tc>
        <w:tc>
          <w:tcPr>
            <w:tcW w:w="50" w:type="pct"/>
            <w:shd w:val="clear" w:color="auto" w:fill="FFFFFF"/>
            <w:noWrap/>
            <w:tcMar>
              <w:top w:w="15" w:type="dxa"/>
              <w:left w:w="0" w:type="dxa"/>
              <w:bottom w:w="0" w:type="dxa"/>
              <w:right w:w="15" w:type="dxa"/>
            </w:tcMar>
            <w:vAlign w:val="bottom"/>
          </w:tcPr>
          <w:p w14:paraId="6A877973" w14:textId="77777777" w:rsidR="009A5AEC" w:rsidRDefault="00000000">
            <w:pPr>
              <w:pStyle w:val="Normal0"/>
              <w:rPr>
                <w:color w:val="000000"/>
                <w:sz w:val="20"/>
              </w:rPr>
            </w:pPr>
            <w:r>
              <w:rPr>
                <w:color w:val="000000"/>
                <w:sz w:val="20"/>
              </w:rPr>
              <w:t>)</w:t>
            </w:r>
          </w:p>
        </w:tc>
        <w:tc>
          <w:tcPr>
            <w:tcW w:w="84" w:type="pct"/>
            <w:shd w:val="clear" w:color="auto" w:fill="FFFFFF"/>
            <w:tcMar>
              <w:top w:w="15" w:type="dxa"/>
              <w:left w:w="0" w:type="dxa"/>
              <w:bottom w:w="0" w:type="dxa"/>
              <w:right w:w="15" w:type="dxa"/>
            </w:tcMar>
            <w:vAlign w:val="bottom"/>
          </w:tcPr>
          <w:p w14:paraId="6A4B1F38"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5EF99D81" w14:textId="77777777" w:rsidR="009A5AEC" w:rsidRDefault="00000000">
            <w:pPr>
              <w:pStyle w:val="Normal0"/>
              <w:rPr>
                <w:color w:val="000000"/>
                <w:sz w:val="20"/>
              </w:rPr>
            </w:pPr>
            <w:r>
              <w:rPr>
                <w:color w:val="000000"/>
                <w:sz w:val="20"/>
              </w:rPr>
              <w:t>$</w:t>
            </w:r>
          </w:p>
        </w:tc>
        <w:tc>
          <w:tcPr>
            <w:tcW w:w="794"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291C48DD" w14:textId="77777777" w:rsidR="009A5AEC" w:rsidRDefault="00000000">
            <w:pPr>
              <w:pStyle w:val="Normal0"/>
              <w:jc w:val="right"/>
              <w:rPr>
                <w:color w:val="000000"/>
                <w:sz w:val="20"/>
              </w:rPr>
            </w:pPr>
            <w:r>
              <w:rPr>
                <w:color w:val="000000"/>
                <w:sz w:val="20"/>
              </w:rPr>
              <w:t>31,780</w:t>
            </w:r>
          </w:p>
        </w:tc>
        <w:tc>
          <w:tcPr>
            <w:tcW w:w="50" w:type="pct"/>
            <w:shd w:val="clear" w:color="auto" w:fill="FFFFFF"/>
            <w:noWrap/>
            <w:tcMar>
              <w:top w:w="15" w:type="dxa"/>
              <w:left w:w="0" w:type="dxa"/>
              <w:bottom w:w="0" w:type="dxa"/>
              <w:right w:w="15" w:type="dxa"/>
            </w:tcMar>
            <w:vAlign w:val="bottom"/>
          </w:tcPr>
          <w:p w14:paraId="3D240873" w14:textId="77777777" w:rsidR="009A5AEC" w:rsidRDefault="00000000">
            <w:pPr>
              <w:pStyle w:val="Normal0"/>
              <w:rPr>
                <w:color w:val="000000"/>
                <w:sz w:val="20"/>
              </w:rPr>
            </w:pPr>
            <w:r>
              <w:rPr>
                <w:color w:val="000000"/>
                <w:sz w:val="20"/>
              </w:rPr>
              <w:t xml:space="preserve"> </w:t>
            </w:r>
          </w:p>
        </w:tc>
      </w:tr>
      <w:tr w:rsidR="003116D1" w14:paraId="47A0FD88" w14:textId="77777777">
        <w:trPr>
          <w:cantSplit/>
          <w:jc w:val="center"/>
        </w:trPr>
        <w:tc>
          <w:tcPr>
            <w:tcW w:w="3042" w:type="pct"/>
            <w:shd w:val="clear" w:color="auto" w:fill="FFFFFF"/>
            <w:tcMar>
              <w:top w:w="15" w:type="dxa"/>
              <w:left w:w="0" w:type="dxa"/>
              <w:bottom w:w="0" w:type="dxa"/>
              <w:right w:w="15" w:type="dxa"/>
            </w:tcMar>
            <w:vAlign w:val="bottom"/>
          </w:tcPr>
          <w:p w14:paraId="7BDEB08C" w14:textId="77777777" w:rsidR="009A5AEC" w:rsidRDefault="00000000">
            <w:pPr>
              <w:pStyle w:val="Normal0"/>
              <w:keepNext/>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2927DC27"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79359038" w14:textId="77777777" w:rsidR="009A5AEC" w:rsidRDefault="00000000">
            <w:pPr>
              <w:pStyle w:val="Normal0"/>
              <w:rPr>
                <w:color w:val="000000"/>
                <w:sz w:val="20"/>
              </w:rPr>
            </w:pPr>
            <w:r>
              <w:rPr>
                <w:color w:val="000000"/>
                <w:sz w:val="20"/>
              </w:rPr>
              <w:t xml:space="preserve"> </w:t>
            </w:r>
          </w:p>
        </w:tc>
        <w:tc>
          <w:tcPr>
            <w:tcW w:w="794" w:type="pct"/>
            <w:tcBorders>
              <w:top w:val="double" w:sz="6" w:space="0" w:color="000000"/>
            </w:tcBorders>
            <w:shd w:val="clear" w:color="auto" w:fill="FFFFFF"/>
            <w:noWrap/>
            <w:tcMar>
              <w:top w:w="15" w:type="dxa"/>
              <w:left w:w="0" w:type="dxa"/>
              <w:bottom w:w="0" w:type="dxa"/>
              <w:right w:w="15" w:type="dxa"/>
            </w:tcMar>
            <w:vAlign w:val="bottom"/>
          </w:tcPr>
          <w:p w14:paraId="16EA9C32"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4176FAB6"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0C7CFC13"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31DF2438" w14:textId="77777777" w:rsidR="009A5AEC" w:rsidRDefault="00000000">
            <w:pPr>
              <w:pStyle w:val="Normal0"/>
              <w:rPr>
                <w:color w:val="000000"/>
                <w:sz w:val="20"/>
              </w:rPr>
            </w:pPr>
            <w:r>
              <w:rPr>
                <w:color w:val="000000"/>
                <w:sz w:val="20"/>
              </w:rPr>
              <w:t xml:space="preserve"> </w:t>
            </w:r>
          </w:p>
        </w:tc>
        <w:tc>
          <w:tcPr>
            <w:tcW w:w="794" w:type="pct"/>
            <w:tcBorders>
              <w:top w:val="double" w:sz="6" w:space="0" w:color="000000"/>
            </w:tcBorders>
            <w:shd w:val="clear" w:color="auto" w:fill="FFFFFF"/>
            <w:noWrap/>
            <w:tcMar>
              <w:top w:w="15" w:type="dxa"/>
              <w:left w:w="0" w:type="dxa"/>
              <w:bottom w:w="0" w:type="dxa"/>
              <w:right w:w="15" w:type="dxa"/>
            </w:tcMar>
            <w:vAlign w:val="bottom"/>
          </w:tcPr>
          <w:p w14:paraId="587D3E7A"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57D2A8C2" w14:textId="77777777" w:rsidR="009A5AEC" w:rsidRDefault="00000000">
            <w:pPr>
              <w:pStyle w:val="Normal0"/>
              <w:rPr>
                <w:color w:val="000000"/>
                <w:sz w:val="20"/>
              </w:rPr>
            </w:pPr>
            <w:r>
              <w:rPr>
                <w:color w:val="000000"/>
                <w:sz w:val="20"/>
              </w:rPr>
              <w:t xml:space="preserve"> </w:t>
            </w:r>
          </w:p>
        </w:tc>
      </w:tr>
      <w:tr w:rsidR="003116D1" w14:paraId="525426D0" w14:textId="77777777">
        <w:trPr>
          <w:cantSplit/>
          <w:jc w:val="center"/>
        </w:trPr>
        <w:tc>
          <w:tcPr>
            <w:tcW w:w="3042" w:type="pct"/>
            <w:shd w:val="clear" w:color="auto" w:fill="FFFFFF"/>
            <w:tcMar>
              <w:top w:w="15" w:type="dxa"/>
              <w:left w:w="0" w:type="dxa"/>
              <w:bottom w:w="0" w:type="dxa"/>
              <w:right w:w="15" w:type="dxa"/>
            </w:tcMar>
            <w:vAlign w:val="bottom"/>
          </w:tcPr>
          <w:p w14:paraId="062B2932" w14:textId="77777777" w:rsidR="009A5AEC" w:rsidRDefault="00000000">
            <w:pPr>
              <w:pStyle w:val="Normal0"/>
              <w:keepNext/>
              <w:rPr>
                <w:color w:val="000000"/>
                <w:sz w:val="20"/>
              </w:rPr>
            </w:pPr>
            <w:r>
              <w:rPr>
                <w:color w:val="000000"/>
                <w:sz w:val="20"/>
              </w:rPr>
              <w:t xml:space="preserve"> Weighted average number of shares used in basic EPS calculation</w:t>
            </w:r>
          </w:p>
        </w:tc>
        <w:tc>
          <w:tcPr>
            <w:tcW w:w="84" w:type="pct"/>
            <w:shd w:val="clear" w:color="auto" w:fill="FFFFFF"/>
            <w:tcMar>
              <w:top w:w="15" w:type="dxa"/>
              <w:left w:w="0" w:type="dxa"/>
              <w:bottom w:w="0" w:type="dxa"/>
              <w:right w:w="15" w:type="dxa"/>
            </w:tcMar>
            <w:vAlign w:val="bottom"/>
          </w:tcPr>
          <w:p w14:paraId="40D80E06" w14:textId="77777777" w:rsidR="009A5AEC" w:rsidRDefault="00000000">
            <w:pPr>
              <w:pStyle w:val="Normal0"/>
              <w:rPr>
                <w:color w:val="000000"/>
                <w:sz w:val="20"/>
              </w:rPr>
            </w:pPr>
            <w:r>
              <w:rPr>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3B9ED21F" w14:textId="77777777" w:rsidR="009A5AEC" w:rsidRDefault="00000000">
            <w:pPr>
              <w:pStyle w:val="Normal0"/>
              <w:rPr>
                <w:color w:val="000000"/>
                <w:sz w:val="20"/>
              </w:rPr>
            </w:pPr>
            <w:r>
              <w:rPr>
                <w:color w:val="000000"/>
                <w:sz w:val="20"/>
              </w:rPr>
              <w:t xml:space="preserve"> </w:t>
            </w:r>
          </w:p>
        </w:tc>
        <w:tc>
          <w:tcPr>
            <w:tcW w:w="794" w:type="pct"/>
            <w:tcBorders>
              <w:bottom w:val="double" w:sz="6" w:space="0" w:color="000000"/>
            </w:tcBorders>
            <w:shd w:val="clear" w:color="auto" w:fill="FFFFFF"/>
            <w:noWrap/>
            <w:tcMar>
              <w:top w:w="15" w:type="dxa"/>
              <w:left w:w="0" w:type="dxa"/>
              <w:bottom w:w="0" w:type="dxa"/>
              <w:right w:w="15" w:type="dxa"/>
            </w:tcMar>
            <w:vAlign w:val="bottom"/>
          </w:tcPr>
          <w:p w14:paraId="56EFD636" w14:textId="77777777" w:rsidR="009A5AEC" w:rsidRDefault="00000000">
            <w:pPr>
              <w:pStyle w:val="Normal0"/>
              <w:jc w:val="right"/>
              <w:rPr>
                <w:color w:val="000000"/>
                <w:sz w:val="20"/>
              </w:rPr>
            </w:pPr>
            <w:r>
              <w:rPr>
                <w:color w:val="000000"/>
                <w:sz w:val="20"/>
              </w:rPr>
              <w:t>5,346,043</w:t>
            </w:r>
          </w:p>
        </w:tc>
        <w:tc>
          <w:tcPr>
            <w:tcW w:w="50" w:type="pct"/>
            <w:shd w:val="clear" w:color="auto" w:fill="FFFFFF"/>
            <w:noWrap/>
            <w:tcMar>
              <w:top w:w="15" w:type="dxa"/>
              <w:left w:w="0" w:type="dxa"/>
              <w:bottom w:w="0" w:type="dxa"/>
              <w:right w:w="15" w:type="dxa"/>
            </w:tcMar>
            <w:vAlign w:val="bottom"/>
          </w:tcPr>
          <w:p w14:paraId="49F9C57C"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0E1A0728" w14:textId="77777777" w:rsidR="009A5AEC" w:rsidRDefault="00000000">
            <w:pPr>
              <w:pStyle w:val="Normal0"/>
              <w:rPr>
                <w:color w:val="000000"/>
                <w:sz w:val="20"/>
              </w:rPr>
            </w:pPr>
            <w:r>
              <w:rPr>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17914C98" w14:textId="77777777" w:rsidR="009A5AEC" w:rsidRDefault="00000000">
            <w:pPr>
              <w:pStyle w:val="Normal0"/>
              <w:rPr>
                <w:color w:val="000000"/>
                <w:sz w:val="20"/>
              </w:rPr>
            </w:pPr>
            <w:r>
              <w:rPr>
                <w:color w:val="000000"/>
                <w:sz w:val="20"/>
              </w:rPr>
              <w:t xml:space="preserve"> </w:t>
            </w:r>
          </w:p>
        </w:tc>
        <w:tc>
          <w:tcPr>
            <w:tcW w:w="794" w:type="pct"/>
            <w:tcBorders>
              <w:bottom w:val="double" w:sz="6" w:space="0" w:color="000000"/>
            </w:tcBorders>
            <w:shd w:val="clear" w:color="auto" w:fill="FFFFFF"/>
            <w:noWrap/>
            <w:tcMar>
              <w:top w:w="15" w:type="dxa"/>
              <w:left w:w="0" w:type="dxa"/>
              <w:bottom w:w="0" w:type="dxa"/>
              <w:right w:w="15" w:type="dxa"/>
            </w:tcMar>
            <w:vAlign w:val="bottom"/>
          </w:tcPr>
          <w:p w14:paraId="3C342C80" w14:textId="77777777" w:rsidR="009A5AEC" w:rsidRDefault="00000000">
            <w:pPr>
              <w:pStyle w:val="Normal0"/>
              <w:jc w:val="right"/>
              <w:rPr>
                <w:color w:val="000000"/>
                <w:sz w:val="20"/>
              </w:rPr>
            </w:pPr>
            <w:r>
              <w:rPr>
                <w:color w:val="000000"/>
                <w:sz w:val="20"/>
              </w:rPr>
              <w:t>5,273,786</w:t>
            </w:r>
          </w:p>
        </w:tc>
        <w:tc>
          <w:tcPr>
            <w:tcW w:w="50" w:type="pct"/>
            <w:shd w:val="clear" w:color="auto" w:fill="FFFFFF"/>
            <w:noWrap/>
            <w:tcMar>
              <w:top w:w="15" w:type="dxa"/>
              <w:left w:w="0" w:type="dxa"/>
              <w:bottom w:w="0" w:type="dxa"/>
              <w:right w:w="15" w:type="dxa"/>
            </w:tcMar>
            <w:vAlign w:val="bottom"/>
          </w:tcPr>
          <w:p w14:paraId="389BF6B4" w14:textId="77777777" w:rsidR="009A5AEC" w:rsidRDefault="00000000">
            <w:pPr>
              <w:pStyle w:val="Normal0"/>
              <w:rPr>
                <w:color w:val="000000"/>
                <w:sz w:val="20"/>
              </w:rPr>
            </w:pPr>
            <w:r>
              <w:rPr>
                <w:color w:val="000000"/>
                <w:sz w:val="20"/>
              </w:rPr>
              <w:t xml:space="preserve"> </w:t>
            </w:r>
          </w:p>
        </w:tc>
      </w:tr>
      <w:tr w:rsidR="003116D1" w14:paraId="55830BBA" w14:textId="77777777">
        <w:trPr>
          <w:cantSplit/>
          <w:jc w:val="center"/>
        </w:trPr>
        <w:tc>
          <w:tcPr>
            <w:tcW w:w="3042" w:type="pct"/>
            <w:shd w:val="clear" w:color="auto" w:fill="FFFFFF"/>
            <w:tcMar>
              <w:top w:w="15" w:type="dxa"/>
              <w:left w:w="0" w:type="dxa"/>
              <w:bottom w:w="0" w:type="dxa"/>
              <w:right w:w="15" w:type="dxa"/>
            </w:tcMar>
            <w:vAlign w:val="bottom"/>
          </w:tcPr>
          <w:p w14:paraId="0161E816" w14:textId="77777777" w:rsidR="009A5AEC" w:rsidRDefault="00000000">
            <w:pPr>
              <w:pStyle w:val="Normal0"/>
              <w:keepNext/>
              <w:rPr>
                <w:color w:val="000000"/>
                <w:sz w:val="20"/>
              </w:rPr>
            </w:pPr>
            <w:r>
              <w:rPr>
                <w:color w:val="000000"/>
                <w:sz w:val="20"/>
              </w:rPr>
              <w:t xml:space="preserve"> BASIC NET </w:t>
            </w:r>
            <w:r w:rsidR="00D825A4">
              <w:rPr>
                <w:color w:val="000000"/>
                <w:sz w:val="20"/>
              </w:rPr>
              <w:t>(</w:t>
            </w:r>
            <w:r>
              <w:rPr>
                <w:color w:val="000000"/>
                <w:sz w:val="20"/>
              </w:rPr>
              <w:t>LOSS</w:t>
            </w:r>
            <w:r w:rsidR="00D825A4">
              <w:rPr>
                <w:color w:val="000000"/>
                <w:sz w:val="20"/>
              </w:rPr>
              <w:t>)</w:t>
            </w:r>
            <w:r>
              <w:rPr>
                <w:color w:val="000000"/>
                <w:sz w:val="20"/>
              </w:rPr>
              <w:t xml:space="preserve"> INCOME PER COMMON SHARE</w:t>
            </w:r>
          </w:p>
        </w:tc>
        <w:tc>
          <w:tcPr>
            <w:tcW w:w="84" w:type="pct"/>
            <w:shd w:val="clear" w:color="auto" w:fill="FFFFFF"/>
            <w:tcMar>
              <w:top w:w="15" w:type="dxa"/>
              <w:left w:w="0" w:type="dxa"/>
              <w:bottom w:w="0" w:type="dxa"/>
              <w:right w:w="15" w:type="dxa"/>
            </w:tcMar>
            <w:vAlign w:val="bottom"/>
          </w:tcPr>
          <w:p w14:paraId="24114466"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4579BD92" w14:textId="77777777" w:rsidR="009A5AEC" w:rsidRDefault="00000000">
            <w:pPr>
              <w:pStyle w:val="Normal0"/>
              <w:rPr>
                <w:color w:val="000000"/>
                <w:sz w:val="20"/>
              </w:rPr>
            </w:pPr>
            <w:r>
              <w:rPr>
                <w:color w:val="000000"/>
                <w:sz w:val="20"/>
              </w:rPr>
              <w:t>$</w:t>
            </w:r>
          </w:p>
        </w:tc>
        <w:tc>
          <w:tcPr>
            <w:tcW w:w="794"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6A6A5813" w14:textId="77777777" w:rsidR="009A5AEC" w:rsidRDefault="00000000">
            <w:pPr>
              <w:pStyle w:val="Normal0"/>
              <w:jc w:val="right"/>
              <w:rPr>
                <w:color w:val="000000"/>
                <w:sz w:val="20"/>
              </w:rPr>
            </w:pPr>
            <w:r>
              <w:rPr>
                <w:color w:val="000000"/>
                <w:sz w:val="20"/>
              </w:rPr>
              <w:t>(0.27</w:t>
            </w:r>
          </w:p>
        </w:tc>
        <w:tc>
          <w:tcPr>
            <w:tcW w:w="50" w:type="pct"/>
            <w:shd w:val="clear" w:color="auto" w:fill="FFFFFF"/>
            <w:noWrap/>
            <w:tcMar>
              <w:top w:w="15" w:type="dxa"/>
              <w:left w:w="0" w:type="dxa"/>
              <w:bottom w:w="0" w:type="dxa"/>
              <w:right w:w="15" w:type="dxa"/>
            </w:tcMar>
            <w:vAlign w:val="bottom"/>
          </w:tcPr>
          <w:p w14:paraId="0CC1C4BF" w14:textId="77777777" w:rsidR="009A5AEC" w:rsidRDefault="00000000">
            <w:pPr>
              <w:pStyle w:val="Normal0"/>
              <w:rPr>
                <w:color w:val="000000"/>
                <w:sz w:val="20"/>
              </w:rPr>
            </w:pPr>
            <w:r>
              <w:rPr>
                <w:color w:val="000000"/>
                <w:sz w:val="20"/>
              </w:rPr>
              <w:t>)</w:t>
            </w:r>
          </w:p>
        </w:tc>
        <w:tc>
          <w:tcPr>
            <w:tcW w:w="84" w:type="pct"/>
            <w:shd w:val="clear" w:color="auto" w:fill="FFFFFF"/>
            <w:tcMar>
              <w:top w:w="15" w:type="dxa"/>
              <w:left w:w="0" w:type="dxa"/>
              <w:bottom w:w="0" w:type="dxa"/>
              <w:right w:w="15" w:type="dxa"/>
            </w:tcMar>
            <w:vAlign w:val="bottom"/>
          </w:tcPr>
          <w:p w14:paraId="00A57FD3"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68256A1D" w14:textId="77777777" w:rsidR="009A5AEC" w:rsidRDefault="00000000">
            <w:pPr>
              <w:pStyle w:val="Normal0"/>
              <w:rPr>
                <w:color w:val="000000"/>
                <w:sz w:val="20"/>
              </w:rPr>
            </w:pPr>
            <w:r>
              <w:rPr>
                <w:color w:val="000000"/>
                <w:sz w:val="20"/>
              </w:rPr>
              <w:t>$</w:t>
            </w:r>
          </w:p>
        </w:tc>
        <w:tc>
          <w:tcPr>
            <w:tcW w:w="794"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7E64B7AB" w14:textId="77777777" w:rsidR="009A5AEC" w:rsidRDefault="00000000">
            <w:pPr>
              <w:pStyle w:val="Normal0"/>
              <w:jc w:val="right"/>
              <w:rPr>
                <w:color w:val="000000"/>
                <w:sz w:val="20"/>
              </w:rPr>
            </w:pPr>
            <w:r>
              <w:rPr>
                <w:color w:val="000000"/>
                <w:sz w:val="20"/>
              </w:rPr>
              <w:t>6.03</w:t>
            </w:r>
          </w:p>
        </w:tc>
        <w:tc>
          <w:tcPr>
            <w:tcW w:w="50" w:type="pct"/>
            <w:shd w:val="clear" w:color="auto" w:fill="FFFFFF"/>
            <w:noWrap/>
            <w:tcMar>
              <w:top w:w="15" w:type="dxa"/>
              <w:left w:w="0" w:type="dxa"/>
              <w:bottom w:w="0" w:type="dxa"/>
              <w:right w:w="15" w:type="dxa"/>
            </w:tcMar>
            <w:vAlign w:val="bottom"/>
          </w:tcPr>
          <w:p w14:paraId="78E71E51" w14:textId="77777777" w:rsidR="009A5AEC" w:rsidRDefault="00000000">
            <w:pPr>
              <w:pStyle w:val="Normal0"/>
              <w:rPr>
                <w:color w:val="000000"/>
                <w:sz w:val="20"/>
              </w:rPr>
            </w:pPr>
            <w:r>
              <w:rPr>
                <w:color w:val="000000"/>
                <w:sz w:val="20"/>
              </w:rPr>
              <w:t xml:space="preserve"> </w:t>
            </w:r>
          </w:p>
        </w:tc>
      </w:tr>
      <w:tr w:rsidR="003116D1" w14:paraId="021BC7C6" w14:textId="77777777">
        <w:trPr>
          <w:cantSplit/>
          <w:jc w:val="center"/>
        </w:trPr>
        <w:tc>
          <w:tcPr>
            <w:tcW w:w="3042" w:type="pct"/>
            <w:shd w:val="clear" w:color="auto" w:fill="FFFFFF"/>
            <w:tcMar>
              <w:top w:w="15" w:type="dxa"/>
              <w:left w:w="0" w:type="dxa"/>
              <w:bottom w:w="0" w:type="dxa"/>
              <w:right w:w="15" w:type="dxa"/>
            </w:tcMar>
            <w:vAlign w:val="bottom"/>
          </w:tcPr>
          <w:p w14:paraId="1F65B39E" w14:textId="77777777" w:rsidR="009A5AEC" w:rsidRDefault="00000000">
            <w:pPr>
              <w:pStyle w:val="Normal0"/>
              <w:keepNext/>
              <w:rPr>
                <w:color w:val="000000"/>
                <w:sz w:val="20"/>
              </w:rPr>
            </w:pPr>
            <w:r>
              <w:rPr>
                <w:color w:val="000000"/>
                <w:sz w:val="20"/>
              </w:rPr>
              <w:t xml:space="preserve"> Weighted average number of shares used in diluted EPS calculation</w:t>
            </w:r>
          </w:p>
        </w:tc>
        <w:tc>
          <w:tcPr>
            <w:tcW w:w="84" w:type="pct"/>
            <w:shd w:val="clear" w:color="auto" w:fill="FFFFFF"/>
            <w:tcMar>
              <w:top w:w="15" w:type="dxa"/>
              <w:left w:w="0" w:type="dxa"/>
              <w:bottom w:w="0" w:type="dxa"/>
              <w:right w:w="15" w:type="dxa"/>
            </w:tcMar>
            <w:vAlign w:val="bottom"/>
          </w:tcPr>
          <w:p w14:paraId="1BA86E19"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27946351" w14:textId="77777777" w:rsidR="009A5AEC" w:rsidRDefault="00000000">
            <w:pPr>
              <w:pStyle w:val="Normal0"/>
              <w:rPr>
                <w:color w:val="000000"/>
                <w:sz w:val="20"/>
              </w:rPr>
            </w:pPr>
            <w:r>
              <w:rPr>
                <w:color w:val="000000"/>
                <w:sz w:val="20"/>
              </w:rPr>
              <w:t xml:space="preserve"> </w:t>
            </w:r>
          </w:p>
        </w:tc>
        <w:tc>
          <w:tcPr>
            <w:tcW w:w="794"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02B2D0AE" w14:textId="77777777" w:rsidR="009A5AEC" w:rsidRDefault="00000000">
            <w:pPr>
              <w:pStyle w:val="Normal0"/>
              <w:jc w:val="right"/>
              <w:rPr>
                <w:color w:val="000000"/>
                <w:sz w:val="20"/>
              </w:rPr>
            </w:pPr>
            <w:r>
              <w:rPr>
                <w:color w:val="000000"/>
                <w:sz w:val="20"/>
              </w:rPr>
              <w:t>5,346,043</w:t>
            </w:r>
          </w:p>
        </w:tc>
        <w:tc>
          <w:tcPr>
            <w:tcW w:w="50" w:type="pct"/>
            <w:shd w:val="clear" w:color="auto" w:fill="FFFFFF"/>
            <w:noWrap/>
            <w:tcMar>
              <w:top w:w="15" w:type="dxa"/>
              <w:left w:w="0" w:type="dxa"/>
              <w:bottom w:w="0" w:type="dxa"/>
              <w:right w:w="15" w:type="dxa"/>
            </w:tcMar>
            <w:vAlign w:val="bottom"/>
          </w:tcPr>
          <w:p w14:paraId="20FC43CF"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08C21035"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17F4679F" w14:textId="77777777" w:rsidR="009A5AEC" w:rsidRDefault="00000000">
            <w:pPr>
              <w:pStyle w:val="Normal0"/>
              <w:rPr>
                <w:color w:val="000000"/>
                <w:sz w:val="20"/>
              </w:rPr>
            </w:pPr>
            <w:r>
              <w:rPr>
                <w:color w:val="000000"/>
                <w:sz w:val="20"/>
              </w:rPr>
              <w:t xml:space="preserve"> </w:t>
            </w:r>
          </w:p>
        </w:tc>
        <w:tc>
          <w:tcPr>
            <w:tcW w:w="794"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1637F23E" w14:textId="77777777" w:rsidR="009A5AEC" w:rsidRDefault="00000000">
            <w:pPr>
              <w:pStyle w:val="Normal0"/>
              <w:jc w:val="right"/>
              <w:rPr>
                <w:color w:val="000000"/>
                <w:sz w:val="20"/>
              </w:rPr>
            </w:pPr>
            <w:r>
              <w:rPr>
                <w:color w:val="000000"/>
                <w:sz w:val="20"/>
              </w:rPr>
              <w:t>5,325,815</w:t>
            </w:r>
          </w:p>
        </w:tc>
        <w:tc>
          <w:tcPr>
            <w:tcW w:w="50" w:type="pct"/>
            <w:shd w:val="clear" w:color="auto" w:fill="FFFFFF"/>
            <w:noWrap/>
            <w:tcMar>
              <w:top w:w="15" w:type="dxa"/>
              <w:left w:w="0" w:type="dxa"/>
              <w:bottom w:w="0" w:type="dxa"/>
              <w:right w:w="15" w:type="dxa"/>
            </w:tcMar>
            <w:vAlign w:val="bottom"/>
          </w:tcPr>
          <w:p w14:paraId="7B54DFD4" w14:textId="77777777" w:rsidR="009A5AEC" w:rsidRDefault="00000000">
            <w:pPr>
              <w:pStyle w:val="Normal0"/>
              <w:rPr>
                <w:color w:val="000000"/>
                <w:sz w:val="20"/>
              </w:rPr>
            </w:pPr>
            <w:r>
              <w:rPr>
                <w:color w:val="000000"/>
                <w:sz w:val="20"/>
              </w:rPr>
              <w:t xml:space="preserve"> </w:t>
            </w:r>
          </w:p>
        </w:tc>
      </w:tr>
      <w:tr w:rsidR="003116D1" w14:paraId="781FBE72" w14:textId="77777777">
        <w:trPr>
          <w:cantSplit/>
          <w:jc w:val="center"/>
        </w:trPr>
        <w:tc>
          <w:tcPr>
            <w:tcW w:w="3042" w:type="pct"/>
            <w:shd w:val="clear" w:color="auto" w:fill="FFFFFF"/>
            <w:tcMar>
              <w:top w:w="15" w:type="dxa"/>
              <w:left w:w="0" w:type="dxa"/>
              <w:bottom w:w="0" w:type="dxa"/>
              <w:right w:w="15" w:type="dxa"/>
            </w:tcMar>
            <w:vAlign w:val="bottom"/>
          </w:tcPr>
          <w:p w14:paraId="7ECB9EDD" w14:textId="77777777" w:rsidR="009A5AEC" w:rsidRDefault="00000000">
            <w:pPr>
              <w:pStyle w:val="Normal0"/>
              <w:rPr>
                <w:color w:val="000000"/>
                <w:sz w:val="20"/>
              </w:rPr>
            </w:pPr>
            <w:r>
              <w:rPr>
                <w:color w:val="000000"/>
                <w:sz w:val="20"/>
              </w:rPr>
              <w:t xml:space="preserve"> DILUTED NET </w:t>
            </w:r>
            <w:r w:rsidR="00D825A4">
              <w:rPr>
                <w:color w:val="000000"/>
                <w:sz w:val="20"/>
              </w:rPr>
              <w:t>(</w:t>
            </w:r>
            <w:r>
              <w:rPr>
                <w:color w:val="000000"/>
                <w:sz w:val="20"/>
              </w:rPr>
              <w:t>LOSS</w:t>
            </w:r>
            <w:r w:rsidR="00D825A4">
              <w:rPr>
                <w:color w:val="000000"/>
                <w:sz w:val="20"/>
              </w:rPr>
              <w:t>)</w:t>
            </w:r>
            <w:r>
              <w:rPr>
                <w:color w:val="000000"/>
                <w:sz w:val="20"/>
              </w:rPr>
              <w:t xml:space="preserve"> INCOME PER COMMON SHARE</w:t>
            </w:r>
          </w:p>
        </w:tc>
        <w:tc>
          <w:tcPr>
            <w:tcW w:w="84" w:type="pct"/>
            <w:shd w:val="clear" w:color="auto" w:fill="FFFFFF"/>
            <w:tcMar>
              <w:top w:w="15" w:type="dxa"/>
              <w:left w:w="0" w:type="dxa"/>
              <w:bottom w:w="0" w:type="dxa"/>
              <w:right w:w="15" w:type="dxa"/>
            </w:tcMar>
            <w:vAlign w:val="bottom"/>
          </w:tcPr>
          <w:p w14:paraId="649A7D5F"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15C88473" w14:textId="77777777" w:rsidR="009A5AEC" w:rsidRDefault="00000000">
            <w:pPr>
              <w:pStyle w:val="Normal0"/>
              <w:rPr>
                <w:color w:val="000000"/>
                <w:sz w:val="20"/>
              </w:rPr>
            </w:pPr>
            <w:r>
              <w:rPr>
                <w:color w:val="000000"/>
                <w:sz w:val="20"/>
              </w:rPr>
              <w:t>$</w:t>
            </w:r>
          </w:p>
        </w:tc>
        <w:tc>
          <w:tcPr>
            <w:tcW w:w="794"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488DE893" w14:textId="77777777" w:rsidR="009A5AEC" w:rsidRDefault="00000000">
            <w:pPr>
              <w:pStyle w:val="Normal0"/>
              <w:jc w:val="right"/>
              <w:rPr>
                <w:color w:val="000000"/>
                <w:sz w:val="20"/>
              </w:rPr>
            </w:pPr>
            <w:r>
              <w:rPr>
                <w:color w:val="000000"/>
                <w:sz w:val="20"/>
              </w:rPr>
              <w:t>(0.27</w:t>
            </w:r>
          </w:p>
        </w:tc>
        <w:tc>
          <w:tcPr>
            <w:tcW w:w="50" w:type="pct"/>
            <w:shd w:val="clear" w:color="auto" w:fill="FFFFFF"/>
            <w:noWrap/>
            <w:tcMar>
              <w:top w:w="15" w:type="dxa"/>
              <w:left w:w="0" w:type="dxa"/>
              <w:bottom w:w="0" w:type="dxa"/>
              <w:right w:w="15" w:type="dxa"/>
            </w:tcMar>
            <w:vAlign w:val="bottom"/>
          </w:tcPr>
          <w:p w14:paraId="07201D1B" w14:textId="77777777" w:rsidR="009A5AEC" w:rsidRDefault="00000000">
            <w:pPr>
              <w:pStyle w:val="Normal0"/>
              <w:rPr>
                <w:color w:val="000000"/>
                <w:sz w:val="20"/>
              </w:rPr>
            </w:pPr>
            <w:r>
              <w:rPr>
                <w:color w:val="000000"/>
                <w:sz w:val="20"/>
              </w:rPr>
              <w:t>)</w:t>
            </w:r>
          </w:p>
        </w:tc>
        <w:tc>
          <w:tcPr>
            <w:tcW w:w="84" w:type="pct"/>
            <w:shd w:val="clear" w:color="auto" w:fill="FFFFFF"/>
            <w:tcMar>
              <w:top w:w="15" w:type="dxa"/>
              <w:left w:w="0" w:type="dxa"/>
              <w:bottom w:w="0" w:type="dxa"/>
              <w:right w:w="15" w:type="dxa"/>
            </w:tcMar>
            <w:vAlign w:val="bottom"/>
          </w:tcPr>
          <w:p w14:paraId="76095625"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5F3AB244" w14:textId="77777777" w:rsidR="009A5AEC" w:rsidRDefault="00000000">
            <w:pPr>
              <w:pStyle w:val="Normal0"/>
              <w:rPr>
                <w:color w:val="000000"/>
                <w:sz w:val="20"/>
              </w:rPr>
            </w:pPr>
            <w:r>
              <w:rPr>
                <w:color w:val="000000"/>
                <w:sz w:val="20"/>
              </w:rPr>
              <w:t>$</w:t>
            </w:r>
          </w:p>
        </w:tc>
        <w:tc>
          <w:tcPr>
            <w:tcW w:w="794"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69D5B909" w14:textId="77777777" w:rsidR="009A5AEC" w:rsidRDefault="00000000">
            <w:pPr>
              <w:pStyle w:val="Normal0"/>
              <w:jc w:val="right"/>
              <w:rPr>
                <w:color w:val="000000"/>
                <w:sz w:val="20"/>
              </w:rPr>
            </w:pPr>
            <w:r>
              <w:rPr>
                <w:color w:val="000000"/>
                <w:sz w:val="20"/>
              </w:rPr>
              <w:t>5.97</w:t>
            </w:r>
          </w:p>
        </w:tc>
        <w:tc>
          <w:tcPr>
            <w:tcW w:w="50" w:type="pct"/>
            <w:shd w:val="clear" w:color="auto" w:fill="FFFFFF"/>
            <w:noWrap/>
            <w:tcMar>
              <w:top w:w="15" w:type="dxa"/>
              <w:left w:w="0" w:type="dxa"/>
              <w:bottom w:w="0" w:type="dxa"/>
              <w:right w:w="15" w:type="dxa"/>
            </w:tcMar>
            <w:vAlign w:val="bottom"/>
          </w:tcPr>
          <w:p w14:paraId="47288269" w14:textId="77777777" w:rsidR="009A5AEC" w:rsidRDefault="00000000">
            <w:pPr>
              <w:pStyle w:val="Normal0"/>
              <w:rPr>
                <w:color w:val="000000"/>
                <w:sz w:val="20"/>
              </w:rPr>
            </w:pPr>
            <w:r>
              <w:rPr>
                <w:color w:val="000000"/>
                <w:sz w:val="2"/>
              </w:rPr>
              <w:t xml:space="preserve"> </w:t>
            </w:r>
          </w:p>
        </w:tc>
      </w:tr>
    </w:tbl>
    <w:p w14:paraId="74DA267A" w14:textId="77777777" w:rsidR="000A74B1" w:rsidRDefault="000A74B1" w:rsidP="005F0D08">
      <w:pPr>
        <w:pStyle w:val="BodyText0"/>
        <w:autoSpaceDE w:val="0"/>
        <w:autoSpaceDN w:val="0"/>
        <w:adjustRightInd w:val="0"/>
        <w:spacing w:after="0"/>
        <w:jc w:val="center"/>
        <w:rPr>
          <w:b/>
          <w:sz w:val="22"/>
          <w:szCs w:val="22"/>
        </w:rPr>
      </w:pPr>
    </w:p>
    <w:p w14:paraId="70031B51" w14:textId="77777777" w:rsidR="000A74B1" w:rsidRDefault="000A74B1" w:rsidP="005F0D08">
      <w:pPr>
        <w:pStyle w:val="BodyText0"/>
        <w:autoSpaceDE w:val="0"/>
        <w:autoSpaceDN w:val="0"/>
        <w:adjustRightInd w:val="0"/>
        <w:spacing w:after="0"/>
        <w:jc w:val="center"/>
        <w:rPr>
          <w:b/>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0" w:type="dxa"/>
          <w:right w:w="15" w:type="dxa"/>
        </w:tblCellMar>
        <w:tblLook w:val="04A0" w:firstRow="1" w:lastRow="0" w:firstColumn="1" w:lastColumn="0" w:noHBand="0" w:noVBand="1"/>
      </w:tblPr>
      <w:tblGrid>
        <w:gridCol w:w="5690"/>
        <w:gridCol w:w="151"/>
        <w:gridCol w:w="115"/>
        <w:gridCol w:w="1480"/>
        <w:gridCol w:w="88"/>
        <w:gridCol w:w="151"/>
        <w:gridCol w:w="115"/>
        <w:gridCol w:w="1482"/>
        <w:gridCol w:w="88"/>
      </w:tblGrid>
      <w:tr w:rsidR="003116D1" w14:paraId="4D5418A5" w14:textId="77777777">
        <w:trPr>
          <w:cantSplit/>
          <w:jc w:val="center"/>
        </w:trPr>
        <w:tc>
          <w:tcPr>
            <w:tcW w:w="3042" w:type="pct"/>
            <w:shd w:val="clear" w:color="auto" w:fill="FFFFFF"/>
            <w:tcMar>
              <w:top w:w="15" w:type="dxa"/>
              <w:left w:w="0" w:type="dxa"/>
              <w:bottom w:w="0" w:type="dxa"/>
              <w:right w:w="15" w:type="dxa"/>
            </w:tcMar>
            <w:vAlign w:val="bottom"/>
          </w:tcPr>
          <w:p w14:paraId="423BDC26" w14:textId="77777777" w:rsidR="009A5AEC" w:rsidRDefault="00000000">
            <w:pPr>
              <w:pStyle w:val="Normal0"/>
              <w:keepNext/>
              <w:rPr>
                <w:b/>
                <w:color w:val="000000"/>
                <w:sz w:val="20"/>
              </w:rPr>
            </w:pPr>
            <w:r>
              <w:t xml:space="preserve"> </w:t>
            </w:r>
          </w:p>
        </w:tc>
        <w:tc>
          <w:tcPr>
            <w:tcW w:w="84" w:type="pct"/>
            <w:shd w:val="clear" w:color="auto" w:fill="FFFFFF"/>
            <w:tcMar>
              <w:top w:w="15" w:type="dxa"/>
              <w:left w:w="0" w:type="dxa"/>
              <w:bottom w:w="0" w:type="dxa"/>
              <w:right w:w="15" w:type="dxa"/>
            </w:tcMar>
            <w:vAlign w:val="bottom"/>
          </w:tcPr>
          <w:p w14:paraId="0D798309" w14:textId="77777777" w:rsidR="009A5AEC" w:rsidRDefault="00000000">
            <w:pPr>
              <w:pStyle w:val="Normal0"/>
              <w:rPr>
                <w:color w:val="000000"/>
                <w:sz w:val="20"/>
              </w:rPr>
            </w:pPr>
            <w:r>
              <w:rPr>
                <w:color w:val="000000"/>
                <w:sz w:val="20"/>
              </w:rPr>
              <w:t xml:space="preserve"> </w:t>
            </w:r>
          </w:p>
        </w:tc>
        <w:tc>
          <w:tcPr>
            <w:tcW w:w="1823" w:type="pct"/>
            <w:gridSpan w:val="6"/>
            <w:tcBorders>
              <w:bottom w:val="single" w:sz="2" w:space="0" w:color="000000"/>
            </w:tcBorders>
            <w:shd w:val="clear" w:color="auto" w:fill="FFFFFF"/>
            <w:tcMar>
              <w:top w:w="15" w:type="dxa"/>
              <w:left w:w="0" w:type="dxa"/>
              <w:bottom w:w="0" w:type="dxa"/>
              <w:right w:w="15" w:type="dxa"/>
            </w:tcMar>
            <w:vAlign w:val="bottom"/>
          </w:tcPr>
          <w:p w14:paraId="09A4B2F6" w14:textId="77777777" w:rsidR="009A5AEC" w:rsidRDefault="00000000">
            <w:pPr>
              <w:pStyle w:val="Normal0"/>
              <w:jc w:val="center"/>
              <w:rPr>
                <w:b/>
                <w:color w:val="000000"/>
                <w:sz w:val="20"/>
              </w:rPr>
            </w:pPr>
            <w:r>
              <w:rPr>
                <w:b/>
                <w:color w:val="000000"/>
                <w:sz w:val="20"/>
              </w:rPr>
              <w:t>For the Nine Months Ended September 30,</w:t>
            </w:r>
          </w:p>
        </w:tc>
        <w:tc>
          <w:tcPr>
            <w:tcW w:w="50" w:type="pct"/>
            <w:shd w:val="clear" w:color="auto" w:fill="FFFFFF"/>
            <w:noWrap/>
            <w:tcMar>
              <w:top w:w="15" w:type="dxa"/>
              <w:left w:w="0" w:type="dxa"/>
              <w:bottom w:w="0" w:type="dxa"/>
              <w:right w:w="15" w:type="dxa"/>
            </w:tcMar>
            <w:vAlign w:val="bottom"/>
          </w:tcPr>
          <w:p w14:paraId="0E722DCF" w14:textId="77777777" w:rsidR="009A5AEC" w:rsidRDefault="00000000">
            <w:pPr>
              <w:pStyle w:val="Normal0"/>
              <w:rPr>
                <w:b/>
                <w:color w:val="000000"/>
                <w:sz w:val="20"/>
              </w:rPr>
            </w:pPr>
            <w:r>
              <w:rPr>
                <w:b/>
                <w:color w:val="000000"/>
                <w:sz w:val="20"/>
              </w:rPr>
              <w:t xml:space="preserve"> </w:t>
            </w:r>
          </w:p>
        </w:tc>
      </w:tr>
      <w:tr w:rsidR="003116D1" w14:paraId="70BE1529" w14:textId="77777777">
        <w:trPr>
          <w:cantSplit/>
          <w:jc w:val="center"/>
        </w:trPr>
        <w:tc>
          <w:tcPr>
            <w:tcW w:w="3042" w:type="pct"/>
            <w:shd w:val="clear" w:color="auto" w:fill="FFFFFF"/>
            <w:tcMar>
              <w:top w:w="15" w:type="dxa"/>
              <w:left w:w="0" w:type="dxa"/>
              <w:bottom w:w="0" w:type="dxa"/>
              <w:right w:w="15" w:type="dxa"/>
            </w:tcMar>
            <w:vAlign w:val="bottom"/>
          </w:tcPr>
          <w:p w14:paraId="2E423F7E" w14:textId="77777777" w:rsidR="009A5AEC" w:rsidRDefault="00000000">
            <w:pPr>
              <w:pStyle w:val="Normal0"/>
              <w:keepNext/>
              <w:rPr>
                <w:b/>
                <w:color w:val="000000"/>
                <w:sz w:val="20"/>
              </w:rPr>
            </w:pPr>
            <w:r>
              <w:rPr>
                <w:b/>
                <w:color w:val="000000"/>
                <w:sz w:val="20"/>
              </w:rPr>
              <w:t xml:space="preserve"> </w:t>
            </w:r>
          </w:p>
        </w:tc>
        <w:tc>
          <w:tcPr>
            <w:tcW w:w="84" w:type="pct"/>
            <w:shd w:val="clear" w:color="auto" w:fill="FFFFFF"/>
            <w:tcMar>
              <w:top w:w="15" w:type="dxa"/>
              <w:left w:w="0" w:type="dxa"/>
              <w:bottom w:w="0" w:type="dxa"/>
              <w:right w:w="15" w:type="dxa"/>
            </w:tcMar>
            <w:vAlign w:val="bottom"/>
          </w:tcPr>
          <w:p w14:paraId="3E8A9E8A" w14:textId="77777777" w:rsidR="009A5AEC" w:rsidRDefault="00000000">
            <w:pPr>
              <w:pStyle w:val="Normal0"/>
              <w:rPr>
                <w:color w:val="000000"/>
                <w:sz w:val="20"/>
              </w:rPr>
            </w:pPr>
            <w:r>
              <w:rPr>
                <w:color w:val="000000"/>
                <w:sz w:val="20"/>
              </w:rPr>
              <w:t xml:space="preserve"> </w:t>
            </w:r>
          </w:p>
        </w:tc>
        <w:tc>
          <w:tcPr>
            <w:tcW w:w="844" w:type="pct"/>
            <w:gridSpan w:val="2"/>
            <w:tcBorders>
              <w:top w:val="single" w:sz="2" w:space="0" w:color="000000"/>
              <w:bottom w:val="single" w:sz="2" w:space="0" w:color="000000"/>
            </w:tcBorders>
            <w:shd w:val="clear" w:color="auto" w:fill="FFFFFF"/>
            <w:tcMar>
              <w:top w:w="15" w:type="dxa"/>
              <w:left w:w="0" w:type="dxa"/>
              <w:bottom w:w="0" w:type="dxa"/>
              <w:right w:w="15" w:type="dxa"/>
            </w:tcMar>
            <w:vAlign w:val="bottom"/>
          </w:tcPr>
          <w:p w14:paraId="66F0DED6" w14:textId="77777777" w:rsidR="009A5AEC" w:rsidRDefault="00000000">
            <w:pPr>
              <w:pStyle w:val="Normal0"/>
              <w:jc w:val="center"/>
              <w:rPr>
                <w:b/>
                <w:color w:val="000000"/>
                <w:sz w:val="20"/>
              </w:rPr>
            </w:pPr>
            <w:r>
              <w:rPr>
                <w:b/>
                <w:color w:val="000000"/>
                <w:sz w:val="20"/>
              </w:rPr>
              <w:t>2022</w:t>
            </w:r>
          </w:p>
        </w:tc>
        <w:tc>
          <w:tcPr>
            <w:tcW w:w="50" w:type="pct"/>
            <w:shd w:val="clear" w:color="auto" w:fill="FFFFFF"/>
            <w:noWrap/>
            <w:tcMar>
              <w:top w:w="15" w:type="dxa"/>
              <w:left w:w="0" w:type="dxa"/>
              <w:bottom w:w="0" w:type="dxa"/>
              <w:right w:w="15" w:type="dxa"/>
            </w:tcMar>
            <w:vAlign w:val="bottom"/>
          </w:tcPr>
          <w:p w14:paraId="41A19541" w14:textId="77777777" w:rsidR="009A5AEC" w:rsidRDefault="00000000">
            <w:pPr>
              <w:pStyle w:val="Normal0"/>
              <w:rPr>
                <w:b/>
                <w:color w:val="000000"/>
                <w:sz w:val="20"/>
              </w:rPr>
            </w:pPr>
            <w:r>
              <w:rPr>
                <w:b/>
                <w:color w:val="000000"/>
                <w:sz w:val="20"/>
              </w:rPr>
              <w:t xml:space="preserve"> </w:t>
            </w:r>
          </w:p>
        </w:tc>
        <w:tc>
          <w:tcPr>
            <w:tcW w:w="84" w:type="pct"/>
            <w:tcBorders>
              <w:top w:val="single" w:sz="2" w:space="0" w:color="000000"/>
            </w:tcBorders>
            <w:shd w:val="clear" w:color="auto" w:fill="FFFFFF"/>
            <w:tcMar>
              <w:top w:w="15" w:type="dxa"/>
              <w:left w:w="0" w:type="dxa"/>
              <w:bottom w:w="0" w:type="dxa"/>
              <w:right w:w="15" w:type="dxa"/>
            </w:tcMar>
            <w:vAlign w:val="bottom"/>
          </w:tcPr>
          <w:p w14:paraId="6EE7AC76" w14:textId="77777777" w:rsidR="009A5AEC" w:rsidRDefault="00000000">
            <w:pPr>
              <w:pStyle w:val="Normal0"/>
              <w:rPr>
                <w:color w:val="000000"/>
                <w:sz w:val="20"/>
              </w:rPr>
            </w:pPr>
            <w:r>
              <w:rPr>
                <w:color w:val="000000"/>
                <w:sz w:val="20"/>
              </w:rPr>
              <w:t xml:space="preserve"> </w:t>
            </w:r>
          </w:p>
        </w:tc>
        <w:tc>
          <w:tcPr>
            <w:tcW w:w="844" w:type="pct"/>
            <w:gridSpan w:val="2"/>
            <w:tcBorders>
              <w:top w:val="single" w:sz="2" w:space="0" w:color="000000"/>
              <w:bottom w:val="single" w:sz="2" w:space="0" w:color="000000"/>
            </w:tcBorders>
            <w:shd w:val="clear" w:color="auto" w:fill="FFFFFF"/>
            <w:tcMar>
              <w:top w:w="15" w:type="dxa"/>
              <w:left w:w="0" w:type="dxa"/>
              <w:bottom w:w="0" w:type="dxa"/>
              <w:right w:w="15" w:type="dxa"/>
            </w:tcMar>
            <w:vAlign w:val="bottom"/>
          </w:tcPr>
          <w:p w14:paraId="48D02081" w14:textId="77777777" w:rsidR="009A5AEC" w:rsidRDefault="00000000">
            <w:pPr>
              <w:pStyle w:val="Normal0"/>
              <w:jc w:val="center"/>
              <w:rPr>
                <w:b/>
                <w:color w:val="000000"/>
                <w:sz w:val="20"/>
              </w:rPr>
            </w:pPr>
            <w:r>
              <w:rPr>
                <w:b/>
                <w:color w:val="000000"/>
                <w:sz w:val="20"/>
              </w:rPr>
              <w:t>2021</w:t>
            </w:r>
          </w:p>
        </w:tc>
        <w:tc>
          <w:tcPr>
            <w:tcW w:w="50" w:type="pct"/>
            <w:shd w:val="clear" w:color="auto" w:fill="FFFFFF"/>
            <w:noWrap/>
            <w:tcMar>
              <w:top w:w="15" w:type="dxa"/>
              <w:left w:w="0" w:type="dxa"/>
              <w:bottom w:w="0" w:type="dxa"/>
              <w:right w:w="15" w:type="dxa"/>
            </w:tcMar>
            <w:vAlign w:val="bottom"/>
          </w:tcPr>
          <w:p w14:paraId="737BD598" w14:textId="77777777" w:rsidR="009A5AEC" w:rsidRDefault="00000000">
            <w:pPr>
              <w:pStyle w:val="Normal0"/>
              <w:rPr>
                <w:b/>
                <w:color w:val="000000"/>
                <w:sz w:val="20"/>
              </w:rPr>
            </w:pPr>
            <w:r>
              <w:rPr>
                <w:b/>
                <w:color w:val="000000"/>
                <w:sz w:val="20"/>
              </w:rPr>
              <w:t xml:space="preserve"> </w:t>
            </w:r>
          </w:p>
        </w:tc>
      </w:tr>
      <w:tr w:rsidR="003116D1" w14:paraId="54A8874D" w14:textId="77777777">
        <w:trPr>
          <w:cantSplit/>
          <w:jc w:val="center"/>
        </w:trPr>
        <w:tc>
          <w:tcPr>
            <w:tcW w:w="3042" w:type="pct"/>
            <w:shd w:val="clear" w:color="auto" w:fill="FFFFFF"/>
            <w:tcMar>
              <w:top w:w="15" w:type="dxa"/>
              <w:left w:w="0" w:type="dxa"/>
              <w:bottom w:w="0" w:type="dxa"/>
              <w:right w:w="15" w:type="dxa"/>
            </w:tcMar>
            <w:vAlign w:val="bottom"/>
          </w:tcPr>
          <w:p w14:paraId="473ECA4B" w14:textId="77777777" w:rsidR="009A5AEC" w:rsidRDefault="00000000">
            <w:pPr>
              <w:pStyle w:val="Normal0"/>
              <w:keepNext/>
              <w:rPr>
                <w:color w:val="000000"/>
                <w:sz w:val="20"/>
              </w:rPr>
            </w:pPr>
            <w:r>
              <w:rPr>
                <w:b/>
                <w:color w:val="000000"/>
                <w:sz w:val="20"/>
              </w:rPr>
              <w:t xml:space="preserve"> REVENUE</w:t>
            </w:r>
            <w:r>
              <w:rPr>
                <w:color w:val="000000"/>
                <w:sz w:val="20"/>
              </w:rPr>
              <w:t>S</w:t>
            </w:r>
          </w:p>
        </w:tc>
        <w:tc>
          <w:tcPr>
            <w:tcW w:w="84" w:type="pct"/>
            <w:shd w:val="clear" w:color="auto" w:fill="FFFFFF"/>
            <w:tcMar>
              <w:top w:w="15" w:type="dxa"/>
              <w:left w:w="0" w:type="dxa"/>
              <w:bottom w:w="0" w:type="dxa"/>
              <w:right w:w="15" w:type="dxa"/>
            </w:tcMar>
            <w:vAlign w:val="bottom"/>
          </w:tcPr>
          <w:p w14:paraId="4EE37796"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076F9541" w14:textId="77777777" w:rsidR="009A5AEC" w:rsidRDefault="00000000">
            <w:pPr>
              <w:pStyle w:val="Normal0"/>
              <w:rPr>
                <w:color w:val="000000"/>
                <w:sz w:val="20"/>
              </w:rPr>
            </w:pPr>
            <w:r>
              <w:rPr>
                <w:color w:val="000000"/>
                <w:sz w:val="20"/>
              </w:rPr>
              <w:t>$</w:t>
            </w:r>
          </w:p>
        </w:tc>
        <w:tc>
          <w:tcPr>
            <w:tcW w:w="794" w:type="pct"/>
            <w:tcBorders>
              <w:top w:val="single" w:sz="2" w:space="0" w:color="000000"/>
            </w:tcBorders>
            <w:shd w:val="clear" w:color="auto" w:fill="FFFFFF"/>
            <w:noWrap/>
            <w:tcMar>
              <w:top w:w="15" w:type="dxa"/>
              <w:left w:w="0" w:type="dxa"/>
              <w:bottom w:w="0" w:type="dxa"/>
              <w:right w:w="15" w:type="dxa"/>
            </w:tcMar>
            <w:vAlign w:val="bottom"/>
          </w:tcPr>
          <w:p w14:paraId="5EBD9755" w14:textId="77777777" w:rsidR="009A5AEC" w:rsidRDefault="00000000">
            <w:pPr>
              <w:pStyle w:val="Normal0"/>
              <w:jc w:val="right"/>
              <w:rPr>
                <w:color w:val="000000"/>
                <w:sz w:val="20"/>
              </w:rPr>
            </w:pPr>
            <w:r>
              <w:rPr>
                <w:color w:val="000000"/>
                <w:sz w:val="20"/>
              </w:rPr>
              <w:t>24,303</w:t>
            </w:r>
          </w:p>
        </w:tc>
        <w:tc>
          <w:tcPr>
            <w:tcW w:w="50" w:type="pct"/>
            <w:shd w:val="clear" w:color="auto" w:fill="FFFFFF"/>
            <w:noWrap/>
            <w:tcMar>
              <w:top w:w="15" w:type="dxa"/>
              <w:left w:w="0" w:type="dxa"/>
              <w:bottom w:w="0" w:type="dxa"/>
              <w:right w:w="15" w:type="dxa"/>
            </w:tcMar>
            <w:vAlign w:val="bottom"/>
          </w:tcPr>
          <w:p w14:paraId="2A6384FA"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46F13047"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2DD5FC3F" w14:textId="77777777" w:rsidR="009A5AEC" w:rsidRDefault="00000000">
            <w:pPr>
              <w:pStyle w:val="Normal0"/>
              <w:rPr>
                <w:color w:val="000000"/>
                <w:sz w:val="20"/>
              </w:rPr>
            </w:pPr>
            <w:r>
              <w:rPr>
                <w:color w:val="000000"/>
                <w:sz w:val="20"/>
              </w:rPr>
              <w:t>$</w:t>
            </w:r>
          </w:p>
        </w:tc>
        <w:tc>
          <w:tcPr>
            <w:tcW w:w="794" w:type="pct"/>
            <w:tcBorders>
              <w:top w:val="single" w:sz="2" w:space="0" w:color="000000"/>
            </w:tcBorders>
            <w:shd w:val="clear" w:color="auto" w:fill="FFFFFF"/>
            <w:noWrap/>
            <w:tcMar>
              <w:top w:w="15" w:type="dxa"/>
              <w:left w:w="0" w:type="dxa"/>
              <w:bottom w:w="0" w:type="dxa"/>
              <w:right w:w="15" w:type="dxa"/>
            </w:tcMar>
            <w:vAlign w:val="bottom"/>
          </w:tcPr>
          <w:p w14:paraId="053AB84F" w14:textId="77777777" w:rsidR="009A5AEC" w:rsidRDefault="00000000">
            <w:pPr>
              <w:pStyle w:val="Normal0"/>
              <w:jc w:val="right"/>
              <w:rPr>
                <w:color w:val="000000"/>
                <w:sz w:val="20"/>
              </w:rPr>
            </w:pPr>
            <w:r>
              <w:rPr>
                <w:color w:val="000000"/>
                <w:sz w:val="20"/>
              </w:rPr>
              <w:t>20,919</w:t>
            </w:r>
          </w:p>
        </w:tc>
        <w:tc>
          <w:tcPr>
            <w:tcW w:w="50" w:type="pct"/>
            <w:shd w:val="clear" w:color="auto" w:fill="FFFFFF"/>
            <w:noWrap/>
            <w:tcMar>
              <w:top w:w="15" w:type="dxa"/>
              <w:left w:w="0" w:type="dxa"/>
              <w:bottom w:w="0" w:type="dxa"/>
              <w:right w:w="15" w:type="dxa"/>
            </w:tcMar>
            <w:vAlign w:val="bottom"/>
          </w:tcPr>
          <w:p w14:paraId="38BD63C0" w14:textId="77777777" w:rsidR="009A5AEC" w:rsidRDefault="00000000">
            <w:pPr>
              <w:pStyle w:val="Normal0"/>
              <w:rPr>
                <w:color w:val="000000"/>
                <w:sz w:val="20"/>
              </w:rPr>
            </w:pPr>
            <w:r>
              <w:rPr>
                <w:color w:val="000000"/>
                <w:sz w:val="20"/>
              </w:rPr>
              <w:t xml:space="preserve"> </w:t>
            </w:r>
          </w:p>
        </w:tc>
      </w:tr>
      <w:tr w:rsidR="003116D1" w14:paraId="3A7A5663" w14:textId="77777777">
        <w:trPr>
          <w:cantSplit/>
          <w:jc w:val="center"/>
        </w:trPr>
        <w:tc>
          <w:tcPr>
            <w:tcW w:w="3042" w:type="pct"/>
            <w:shd w:val="clear" w:color="auto" w:fill="FFFFFF"/>
            <w:tcMar>
              <w:top w:w="15" w:type="dxa"/>
              <w:left w:w="0" w:type="dxa"/>
              <w:bottom w:w="0" w:type="dxa"/>
              <w:right w:w="15" w:type="dxa"/>
            </w:tcMar>
            <w:vAlign w:val="bottom"/>
          </w:tcPr>
          <w:p w14:paraId="605B8AE8" w14:textId="77777777" w:rsidR="009A5AEC" w:rsidRDefault="00000000">
            <w:pPr>
              <w:pStyle w:val="Normal0"/>
              <w:keepNext/>
              <w:rPr>
                <w:color w:val="000000"/>
                <w:sz w:val="20"/>
              </w:rPr>
            </w:pPr>
            <w:r>
              <w:rPr>
                <w:color w:val="000000"/>
                <w:sz w:val="20"/>
              </w:rPr>
              <w:t xml:space="preserve"> Costs and expenses:</w:t>
            </w:r>
          </w:p>
        </w:tc>
        <w:tc>
          <w:tcPr>
            <w:tcW w:w="84" w:type="pct"/>
            <w:shd w:val="clear" w:color="auto" w:fill="FFFFFF"/>
            <w:tcMar>
              <w:top w:w="15" w:type="dxa"/>
              <w:left w:w="0" w:type="dxa"/>
              <w:bottom w:w="0" w:type="dxa"/>
              <w:right w:w="15" w:type="dxa"/>
            </w:tcMar>
            <w:vAlign w:val="bottom"/>
          </w:tcPr>
          <w:p w14:paraId="32ECE2BD"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44C33B2F" w14:textId="77777777" w:rsidR="009A5AEC" w:rsidRDefault="00000000">
            <w:pPr>
              <w:pStyle w:val="Normal0"/>
              <w:rPr>
                <w:color w:val="000000"/>
                <w:sz w:val="20"/>
              </w:rPr>
            </w:pPr>
            <w:r>
              <w:rPr>
                <w:color w:val="000000"/>
                <w:sz w:val="20"/>
              </w:rPr>
              <w:t xml:space="preserve"> </w:t>
            </w:r>
          </w:p>
        </w:tc>
        <w:tc>
          <w:tcPr>
            <w:tcW w:w="794" w:type="pct"/>
            <w:shd w:val="clear" w:color="auto" w:fill="FFFFFF"/>
            <w:noWrap/>
            <w:tcMar>
              <w:top w:w="15" w:type="dxa"/>
              <w:left w:w="0" w:type="dxa"/>
              <w:bottom w:w="0" w:type="dxa"/>
              <w:right w:w="15" w:type="dxa"/>
            </w:tcMar>
            <w:vAlign w:val="bottom"/>
          </w:tcPr>
          <w:p w14:paraId="10C261B4"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0C2AF1E3"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668E4D7B"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7C3F547A" w14:textId="77777777" w:rsidR="009A5AEC" w:rsidRDefault="00000000">
            <w:pPr>
              <w:pStyle w:val="Normal0"/>
              <w:rPr>
                <w:color w:val="000000"/>
                <w:sz w:val="20"/>
              </w:rPr>
            </w:pPr>
            <w:r>
              <w:rPr>
                <w:color w:val="000000"/>
                <w:sz w:val="20"/>
              </w:rPr>
              <w:t xml:space="preserve"> </w:t>
            </w:r>
          </w:p>
        </w:tc>
        <w:tc>
          <w:tcPr>
            <w:tcW w:w="794" w:type="pct"/>
            <w:shd w:val="clear" w:color="auto" w:fill="FFFFFF"/>
            <w:noWrap/>
            <w:tcMar>
              <w:top w:w="15" w:type="dxa"/>
              <w:left w:w="0" w:type="dxa"/>
              <w:bottom w:w="0" w:type="dxa"/>
              <w:right w:w="15" w:type="dxa"/>
            </w:tcMar>
            <w:vAlign w:val="bottom"/>
          </w:tcPr>
          <w:p w14:paraId="2498C2A2"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136F9380" w14:textId="77777777" w:rsidR="009A5AEC" w:rsidRDefault="00000000">
            <w:pPr>
              <w:pStyle w:val="Normal0"/>
              <w:rPr>
                <w:color w:val="000000"/>
                <w:sz w:val="20"/>
              </w:rPr>
            </w:pPr>
            <w:r>
              <w:rPr>
                <w:color w:val="000000"/>
                <w:sz w:val="20"/>
              </w:rPr>
              <w:t xml:space="preserve"> </w:t>
            </w:r>
          </w:p>
        </w:tc>
      </w:tr>
      <w:tr w:rsidR="003116D1" w14:paraId="794A32E4" w14:textId="77777777">
        <w:trPr>
          <w:cantSplit/>
          <w:jc w:val="center"/>
        </w:trPr>
        <w:tc>
          <w:tcPr>
            <w:tcW w:w="3042" w:type="pct"/>
            <w:shd w:val="clear" w:color="auto" w:fill="FFFFFF"/>
            <w:tcMar>
              <w:top w:w="15" w:type="dxa"/>
              <w:left w:w="0" w:type="dxa"/>
              <w:bottom w:w="0" w:type="dxa"/>
              <w:right w:w="15" w:type="dxa"/>
            </w:tcMar>
            <w:vAlign w:val="bottom"/>
          </w:tcPr>
          <w:p w14:paraId="0250F959" w14:textId="77777777" w:rsidR="009A5AEC" w:rsidRDefault="00000000">
            <w:pPr>
              <w:pStyle w:val="Normal0"/>
              <w:keepNext/>
              <w:ind w:left="274"/>
              <w:rPr>
                <w:color w:val="000000"/>
                <w:sz w:val="20"/>
              </w:rPr>
            </w:pPr>
            <w:r>
              <w:rPr>
                <w:color w:val="000000"/>
                <w:sz w:val="20"/>
              </w:rPr>
              <w:t xml:space="preserve"> Manufacturing cost of sales</w:t>
            </w:r>
          </w:p>
        </w:tc>
        <w:tc>
          <w:tcPr>
            <w:tcW w:w="84" w:type="pct"/>
            <w:shd w:val="clear" w:color="auto" w:fill="FFFFFF"/>
            <w:tcMar>
              <w:top w:w="15" w:type="dxa"/>
              <w:left w:w="0" w:type="dxa"/>
              <w:bottom w:w="0" w:type="dxa"/>
              <w:right w:w="15" w:type="dxa"/>
            </w:tcMar>
            <w:vAlign w:val="bottom"/>
          </w:tcPr>
          <w:p w14:paraId="777A7597"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2FFE0CC8" w14:textId="77777777" w:rsidR="009A5AEC" w:rsidRDefault="00000000">
            <w:pPr>
              <w:pStyle w:val="Normal0"/>
              <w:rPr>
                <w:color w:val="000000"/>
                <w:sz w:val="20"/>
              </w:rPr>
            </w:pPr>
            <w:r>
              <w:rPr>
                <w:color w:val="000000"/>
                <w:sz w:val="20"/>
              </w:rPr>
              <w:t xml:space="preserve"> </w:t>
            </w:r>
          </w:p>
        </w:tc>
        <w:tc>
          <w:tcPr>
            <w:tcW w:w="794" w:type="pct"/>
            <w:shd w:val="clear" w:color="auto" w:fill="FFFFFF"/>
            <w:noWrap/>
            <w:tcMar>
              <w:top w:w="15" w:type="dxa"/>
              <w:left w:w="0" w:type="dxa"/>
              <w:bottom w:w="0" w:type="dxa"/>
              <w:right w:w="15" w:type="dxa"/>
            </w:tcMar>
            <w:vAlign w:val="bottom"/>
          </w:tcPr>
          <w:p w14:paraId="403D26DA" w14:textId="77777777" w:rsidR="009A5AEC" w:rsidRDefault="00000000">
            <w:pPr>
              <w:pStyle w:val="Normal0"/>
              <w:jc w:val="right"/>
              <w:rPr>
                <w:color w:val="000000"/>
                <w:sz w:val="20"/>
              </w:rPr>
            </w:pPr>
            <w:r>
              <w:rPr>
                <w:color w:val="000000"/>
                <w:sz w:val="20"/>
              </w:rPr>
              <w:t>15,591</w:t>
            </w:r>
          </w:p>
        </w:tc>
        <w:tc>
          <w:tcPr>
            <w:tcW w:w="50" w:type="pct"/>
            <w:shd w:val="clear" w:color="auto" w:fill="FFFFFF"/>
            <w:noWrap/>
            <w:tcMar>
              <w:top w:w="15" w:type="dxa"/>
              <w:left w:w="0" w:type="dxa"/>
              <w:bottom w:w="0" w:type="dxa"/>
              <w:right w:w="15" w:type="dxa"/>
            </w:tcMar>
            <w:vAlign w:val="bottom"/>
          </w:tcPr>
          <w:p w14:paraId="05085D01"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2CE4A0BE"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59F76766" w14:textId="77777777" w:rsidR="009A5AEC" w:rsidRDefault="00000000">
            <w:pPr>
              <w:pStyle w:val="Normal0"/>
              <w:rPr>
                <w:color w:val="000000"/>
                <w:sz w:val="20"/>
              </w:rPr>
            </w:pPr>
            <w:r>
              <w:rPr>
                <w:color w:val="000000"/>
                <w:sz w:val="20"/>
              </w:rPr>
              <w:t xml:space="preserve"> </w:t>
            </w:r>
          </w:p>
        </w:tc>
        <w:tc>
          <w:tcPr>
            <w:tcW w:w="794" w:type="pct"/>
            <w:shd w:val="clear" w:color="auto" w:fill="FFFFFF"/>
            <w:noWrap/>
            <w:tcMar>
              <w:top w:w="15" w:type="dxa"/>
              <w:left w:w="0" w:type="dxa"/>
              <w:bottom w:w="0" w:type="dxa"/>
              <w:right w:w="15" w:type="dxa"/>
            </w:tcMar>
            <w:vAlign w:val="bottom"/>
          </w:tcPr>
          <w:p w14:paraId="03468DBF" w14:textId="77777777" w:rsidR="009A5AEC" w:rsidRDefault="00000000">
            <w:pPr>
              <w:pStyle w:val="Normal0"/>
              <w:jc w:val="right"/>
              <w:rPr>
                <w:color w:val="000000"/>
                <w:sz w:val="20"/>
              </w:rPr>
            </w:pPr>
            <w:r>
              <w:rPr>
                <w:color w:val="000000"/>
                <w:sz w:val="20"/>
              </w:rPr>
              <w:t>13,334</w:t>
            </w:r>
          </w:p>
        </w:tc>
        <w:tc>
          <w:tcPr>
            <w:tcW w:w="50" w:type="pct"/>
            <w:shd w:val="clear" w:color="auto" w:fill="FFFFFF"/>
            <w:noWrap/>
            <w:tcMar>
              <w:top w:w="15" w:type="dxa"/>
              <w:left w:w="0" w:type="dxa"/>
              <w:bottom w:w="0" w:type="dxa"/>
              <w:right w:w="15" w:type="dxa"/>
            </w:tcMar>
            <w:vAlign w:val="bottom"/>
          </w:tcPr>
          <w:p w14:paraId="44B89C1F" w14:textId="77777777" w:rsidR="009A5AEC" w:rsidRDefault="00000000">
            <w:pPr>
              <w:pStyle w:val="Normal0"/>
              <w:rPr>
                <w:color w:val="000000"/>
                <w:sz w:val="20"/>
              </w:rPr>
            </w:pPr>
            <w:r>
              <w:rPr>
                <w:color w:val="000000"/>
                <w:sz w:val="20"/>
              </w:rPr>
              <w:t xml:space="preserve"> </w:t>
            </w:r>
          </w:p>
        </w:tc>
      </w:tr>
      <w:tr w:rsidR="003116D1" w14:paraId="053F052B" w14:textId="77777777">
        <w:trPr>
          <w:cantSplit/>
          <w:jc w:val="center"/>
        </w:trPr>
        <w:tc>
          <w:tcPr>
            <w:tcW w:w="3042" w:type="pct"/>
            <w:shd w:val="clear" w:color="auto" w:fill="FFFFFF"/>
            <w:tcMar>
              <w:top w:w="15" w:type="dxa"/>
              <w:left w:w="0" w:type="dxa"/>
              <w:bottom w:w="0" w:type="dxa"/>
              <w:right w:w="15" w:type="dxa"/>
            </w:tcMar>
            <w:vAlign w:val="bottom"/>
          </w:tcPr>
          <w:p w14:paraId="2E8F5FAC" w14:textId="77777777" w:rsidR="009A5AEC" w:rsidRDefault="00000000">
            <w:pPr>
              <w:pStyle w:val="Normal0"/>
              <w:keepNext/>
              <w:ind w:left="274"/>
              <w:rPr>
                <w:color w:val="000000"/>
                <w:sz w:val="20"/>
              </w:rPr>
            </w:pPr>
            <w:r>
              <w:rPr>
                <w:color w:val="000000"/>
                <w:sz w:val="20"/>
              </w:rPr>
              <w:t xml:space="preserve"> Engineering, selling and administrative</w:t>
            </w:r>
          </w:p>
        </w:tc>
        <w:tc>
          <w:tcPr>
            <w:tcW w:w="84" w:type="pct"/>
            <w:shd w:val="clear" w:color="auto" w:fill="FFFFFF"/>
            <w:tcMar>
              <w:top w:w="15" w:type="dxa"/>
              <w:left w:w="0" w:type="dxa"/>
              <w:bottom w:w="0" w:type="dxa"/>
              <w:right w:w="15" w:type="dxa"/>
            </w:tcMar>
            <w:vAlign w:val="bottom"/>
          </w:tcPr>
          <w:p w14:paraId="4D56134A"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7A2ED47F" w14:textId="77777777" w:rsidR="009A5AEC" w:rsidRDefault="00000000">
            <w:pPr>
              <w:pStyle w:val="Normal0"/>
              <w:rPr>
                <w:color w:val="000000"/>
                <w:sz w:val="20"/>
              </w:rPr>
            </w:pPr>
            <w:r>
              <w:rPr>
                <w:color w:val="000000"/>
                <w:sz w:val="20"/>
              </w:rPr>
              <w:t xml:space="preserve"> </w:t>
            </w:r>
          </w:p>
        </w:tc>
        <w:tc>
          <w:tcPr>
            <w:tcW w:w="794" w:type="pct"/>
            <w:tcBorders>
              <w:bottom w:val="single" w:sz="2" w:space="0" w:color="000000"/>
            </w:tcBorders>
            <w:shd w:val="clear" w:color="auto" w:fill="FFFFFF"/>
            <w:noWrap/>
            <w:tcMar>
              <w:top w:w="15" w:type="dxa"/>
              <w:left w:w="0" w:type="dxa"/>
              <w:bottom w:w="0" w:type="dxa"/>
              <w:right w:w="15" w:type="dxa"/>
            </w:tcMar>
            <w:vAlign w:val="bottom"/>
          </w:tcPr>
          <w:p w14:paraId="719B0B70" w14:textId="77777777" w:rsidR="009A5AEC" w:rsidRDefault="00000000">
            <w:pPr>
              <w:pStyle w:val="Normal0"/>
              <w:jc w:val="right"/>
              <w:rPr>
                <w:color w:val="000000"/>
                <w:sz w:val="20"/>
              </w:rPr>
            </w:pPr>
            <w:r>
              <w:rPr>
                <w:color w:val="000000"/>
                <w:sz w:val="20"/>
              </w:rPr>
              <w:t>8,246</w:t>
            </w:r>
          </w:p>
        </w:tc>
        <w:tc>
          <w:tcPr>
            <w:tcW w:w="50" w:type="pct"/>
            <w:shd w:val="clear" w:color="auto" w:fill="FFFFFF"/>
            <w:noWrap/>
            <w:tcMar>
              <w:top w:w="15" w:type="dxa"/>
              <w:left w:w="0" w:type="dxa"/>
              <w:bottom w:w="0" w:type="dxa"/>
              <w:right w:w="15" w:type="dxa"/>
            </w:tcMar>
            <w:vAlign w:val="bottom"/>
          </w:tcPr>
          <w:p w14:paraId="6412B8E7"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3D4C6171"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3642F8A1" w14:textId="77777777" w:rsidR="009A5AEC" w:rsidRDefault="00000000">
            <w:pPr>
              <w:pStyle w:val="Normal0"/>
              <w:rPr>
                <w:color w:val="000000"/>
                <w:sz w:val="20"/>
              </w:rPr>
            </w:pPr>
            <w:r>
              <w:rPr>
                <w:color w:val="000000"/>
                <w:sz w:val="20"/>
              </w:rPr>
              <w:t xml:space="preserve"> </w:t>
            </w:r>
          </w:p>
        </w:tc>
        <w:tc>
          <w:tcPr>
            <w:tcW w:w="794" w:type="pct"/>
            <w:tcBorders>
              <w:bottom w:val="single" w:sz="2" w:space="0" w:color="000000"/>
            </w:tcBorders>
            <w:shd w:val="clear" w:color="auto" w:fill="FFFFFF"/>
            <w:noWrap/>
            <w:tcMar>
              <w:top w:w="15" w:type="dxa"/>
              <w:left w:w="0" w:type="dxa"/>
              <w:bottom w:w="0" w:type="dxa"/>
              <w:right w:w="15" w:type="dxa"/>
            </w:tcMar>
            <w:vAlign w:val="bottom"/>
          </w:tcPr>
          <w:p w14:paraId="42490464" w14:textId="77777777" w:rsidR="009A5AEC" w:rsidRDefault="00000000">
            <w:pPr>
              <w:pStyle w:val="Normal0"/>
              <w:jc w:val="right"/>
              <w:rPr>
                <w:color w:val="000000"/>
                <w:sz w:val="20"/>
              </w:rPr>
            </w:pPr>
            <w:r>
              <w:rPr>
                <w:color w:val="000000"/>
                <w:sz w:val="20"/>
              </w:rPr>
              <w:t>7,775</w:t>
            </w:r>
          </w:p>
        </w:tc>
        <w:tc>
          <w:tcPr>
            <w:tcW w:w="50" w:type="pct"/>
            <w:shd w:val="clear" w:color="auto" w:fill="FFFFFF"/>
            <w:noWrap/>
            <w:tcMar>
              <w:top w:w="15" w:type="dxa"/>
              <w:left w:w="0" w:type="dxa"/>
              <w:bottom w:w="0" w:type="dxa"/>
              <w:right w:w="15" w:type="dxa"/>
            </w:tcMar>
            <w:vAlign w:val="bottom"/>
          </w:tcPr>
          <w:p w14:paraId="063A4A3F" w14:textId="77777777" w:rsidR="009A5AEC" w:rsidRDefault="00000000">
            <w:pPr>
              <w:pStyle w:val="Normal0"/>
              <w:rPr>
                <w:color w:val="000000"/>
                <w:sz w:val="20"/>
              </w:rPr>
            </w:pPr>
            <w:r>
              <w:rPr>
                <w:color w:val="000000"/>
                <w:sz w:val="20"/>
              </w:rPr>
              <w:t xml:space="preserve"> </w:t>
            </w:r>
          </w:p>
        </w:tc>
      </w:tr>
      <w:tr w:rsidR="003116D1" w14:paraId="28D5EE16" w14:textId="77777777">
        <w:trPr>
          <w:cantSplit/>
          <w:jc w:val="center"/>
        </w:trPr>
        <w:tc>
          <w:tcPr>
            <w:tcW w:w="3042" w:type="pct"/>
            <w:shd w:val="clear" w:color="auto" w:fill="FFFFFF"/>
            <w:tcMar>
              <w:top w:w="15" w:type="dxa"/>
              <w:left w:w="0" w:type="dxa"/>
              <w:bottom w:w="0" w:type="dxa"/>
              <w:right w:w="15" w:type="dxa"/>
            </w:tcMar>
            <w:vAlign w:val="bottom"/>
          </w:tcPr>
          <w:p w14:paraId="5DB5F186" w14:textId="77777777" w:rsidR="009A5AEC" w:rsidRDefault="00000000">
            <w:pPr>
              <w:pStyle w:val="Normal0"/>
              <w:keepNext/>
              <w:rPr>
                <w:color w:val="000000"/>
                <w:sz w:val="20"/>
              </w:rPr>
            </w:pPr>
            <w:r>
              <w:rPr>
                <w:color w:val="000000"/>
                <w:sz w:val="20"/>
              </w:rPr>
              <w:t xml:space="preserve"> OPERATING INCOME (LOSS)</w:t>
            </w:r>
          </w:p>
        </w:tc>
        <w:tc>
          <w:tcPr>
            <w:tcW w:w="84" w:type="pct"/>
            <w:shd w:val="clear" w:color="auto" w:fill="FFFFFF"/>
            <w:tcMar>
              <w:top w:w="15" w:type="dxa"/>
              <w:left w:w="0" w:type="dxa"/>
              <w:bottom w:w="0" w:type="dxa"/>
              <w:right w:w="15" w:type="dxa"/>
            </w:tcMar>
            <w:vAlign w:val="bottom"/>
          </w:tcPr>
          <w:p w14:paraId="27FF96A5"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1343002D" w14:textId="77777777" w:rsidR="009A5AEC" w:rsidRDefault="00000000">
            <w:pPr>
              <w:pStyle w:val="Normal0"/>
              <w:rPr>
                <w:color w:val="000000"/>
                <w:sz w:val="20"/>
              </w:rPr>
            </w:pPr>
            <w:r>
              <w:rPr>
                <w:color w:val="000000"/>
                <w:sz w:val="20"/>
              </w:rPr>
              <w:t xml:space="preserve"> </w:t>
            </w:r>
          </w:p>
        </w:tc>
        <w:tc>
          <w:tcPr>
            <w:tcW w:w="794" w:type="pct"/>
            <w:tcBorders>
              <w:top w:val="single" w:sz="2" w:space="0" w:color="000000"/>
            </w:tcBorders>
            <w:shd w:val="clear" w:color="auto" w:fill="FFFFFF"/>
            <w:noWrap/>
            <w:tcMar>
              <w:top w:w="15" w:type="dxa"/>
              <w:left w:w="0" w:type="dxa"/>
              <w:bottom w:w="0" w:type="dxa"/>
              <w:right w:w="15" w:type="dxa"/>
            </w:tcMar>
            <w:vAlign w:val="bottom"/>
          </w:tcPr>
          <w:p w14:paraId="0C6A75B9" w14:textId="77777777" w:rsidR="009A5AEC" w:rsidRDefault="00000000">
            <w:pPr>
              <w:pStyle w:val="Normal0"/>
              <w:jc w:val="right"/>
              <w:rPr>
                <w:color w:val="000000"/>
                <w:sz w:val="20"/>
              </w:rPr>
            </w:pPr>
            <w:r>
              <w:rPr>
                <w:color w:val="000000"/>
                <w:sz w:val="20"/>
              </w:rPr>
              <w:t>466</w:t>
            </w:r>
          </w:p>
        </w:tc>
        <w:tc>
          <w:tcPr>
            <w:tcW w:w="50" w:type="pct"/>
            <w:shd w:val="clear" w:color="auto" w:fill="FFFFFF"/>
            <w:noWrap/>
            <w:tcMar>
              <w:top w:w="15" w:type="dxa"/>
              <w:left w:w="0" w:type="dxa"/>
              <w:bottom w:w="0" w:type="dxa"/>
              <w:right w:w="15" w:type="dxa"/>
            </w:tcMar>
            <w:vAlign w:val="bottom"/>
          </w:tcPr>
          <w:p w14:paraId="6B32F699"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1D2B34DC"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1D979758" w14:textId="77777777" w:rsidR="009A5AEC" w:rsidRDefault="00000000">
            <w:pPr>
              <w:pStyle w:val="Normal0"/>
              <w:rPr>
                <w:color w:val="000000"/>
                <w:sz w:val="20"/>
              </w:rPr>
            </w:pPr>
            <w:r>
              <w:rPr>
                <w:color w:val="000000"/>
                <w:sz w:val="20"/>
              </w:rPr>
              <w:t xml:space="preserve"> </w:t>
            </w:r>
          </w:p>
        </w:tc>
        <w:tc>
          <w:tcPr>
            <w:tcW w:w="794" w:type="pct"/>
            <w:tcBorders>
              <w:top w:val="single" w:sz="2" w:space="0" w:color="000000"/>
            </w:tcBorders>
            <w:shd w:val="clear" w:color="auto" w:fill="FFFFFF"/>
            <w:noWrap/>
            <w:tcMar>
              <w:top w:w="15" w:type="dxa"/>
              <w:left w:w="0" w:type="dxa"/>
              <w:bottom w:w="0" w:type="dxa"/>
              <w:right w:w="15" w:type="dxa"/>
            </w:tcMar>
            <w:vAlign w:val="bottom"/>
          </w:tcPr>
          <w:p w14:paraId="5B95C004" w14:textId="77777777" w:rsidR="009A5AEC" w:rsidRDefault="00000000">
            <w:pPr>
              <w:pStyle w:val="Normal0"/>
              <w:jc w:val="right"/>
              <w:rPr>
                <w:color w:val="000000"/>
                <w:sz w:val="20"/>
              </w:rPr>
            </w:pPr>
            <w:r>
              <w:rPr>
                <w:color w:val="000000"/>
                <w:sz w:val="20"/>
              </w:rPr>
              <w:t>(190</w:t>
            </w:r>
          </w:p>
        </w:tc>
        <w:tc>
          <w:tcPr>
            <w:tcW w:w="50" w:type="pct"/>
            <w:shd w:val="clear" w:color="auto" w:fill="FFFFFF"/>
            <w:noWrap/>
            <w:tcMar>
              <w:top w:w="15" w:type="dxa"/>
              <w:left w:w="0" w:type="dxa"/>
              <w:bottom w:w="0" w:type="dxa"/>
              <w:right w:w="15" w:type="dxa"/>
            </w:tcMar>
            <w:vAlign w:val="bottom"/>
          </w:tcPr>
          <w:p w14:paraId="1AF44A5F" w14:textId="77777777" w:rsidR="009A5AEC" w:rsidRDefault="00000000">
            <w:pPr>
              <w:pStyle w:val="Normal0"/>
              <w:rPr>
                <w:color w:val="000000"/>
                <w:sz w:val="20"/>
              </w:rPr>
            </w:pPr>
            <w:r>
              <w:rPr>
                <w:color w:val="000000"/>
                <w:sz w:val="20"/>
              </w:rPr>
              <w:t>)</w:t>
            </w:r>
          </w:p>
        </w:tc>
      </w:tr>
      <w:tr w:rsidR="003116D1" w14:paraId="18E590BA" w14:textId="77777777">
        <w:trPr>
          <w:cantSplit/>
          <w:jc w:val="center"/>
        </w:trPr>
        <w:tc>
          <w:tcPr>
            <w:tcW w:w="3042" w:type="pct"/>
            <w:shd w:val="clear" w:color="auto" w:fill="FFFFFF"/>
            <w:tcMar>
              <w:top w:w="15" w:type="dxa"/>
              <w:left w:w="0" w:type="dxa"/>
              <w:bottom w:w="0" w:type="dxa"/>
              <w:right w:w="15" w:type="dxa"/>
            </w:tcMar>
            <w:vAlign w:val="bottom"/>
          </w:tcPr>
          <w:p w14:paraId="321B9816" w14:textId="77777777" w:rsidR="009A5AEC" w:rsidRDefault="00000000">
            <w:pPr>
              <w:pStyle w:val="Normal0"/>
              <w:keepNext/>
              <w:ind w:left="274"/>
              <w:rPr>
                <w:color w:val="000000"/>
                <w:sz w:val="20"/>
              </w:rPr>
            </w:pPr>
            <w:r>
              <w:rPr>
                <w:color w:val="000000"/>
                <w:sz w:val="20"/>
              </w:rPr>
              <w:t xml:space="preserve"> Gain on equity investment in unconsolidated subsidiary</w:t>
            </w:r>
          </w:p>
        </w:tc>
        <w:tc>
          <w:tcPr>
            <w:tcW w:w="84" w:type="pct"/>
            <w:shd w:val="clear" w:color="auto" w:fill="FFFFFF"/>
            <w:tcMar>
              <w:top w:w="15" w:type="dxa"/>
              <w:left w:w="0" w:type="dxa"/>
              <w:bottom w:w="0" w:type="dxa"/>
              <w:right w:w="15" w:type="dxa"/>
            </w:tcMar>
            <w:vAlign w:val="bottom"/>
          </w:tcPr>
          <w:p w14:paraId="67A65284"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72B87994" w14:textId="77777777" w:rsidR="009A5AEC" w:rsidRDefault="00000000">
            <w:pPr>
              <w:pStyle w:val="Normal0"/>
              <w:rPr>
                <w:color w:val="000000"/>
                <w:sz w:val="20"/>
              </w:rPr>
            </w:pPr>
            <w:r>
              <w:rPr>
                <w:color w:val="000000"/>
                <w:sz w:val="20"/>
              </w:rPr>
              <w:t xml:space="preserve"> </w:t>
            </w:r>
          </w:p>
        </w:tc>
        <w:tc>
          <w:tcPr>
            <w:tcW w:w="794" w:type="pct"/>
            <w:shd w:val="clear" w:color="auto" w:fill="FFFFFF"/>
            <w:noWrap/>
            <w:tcMar>
              <w:top w:w="15" w:type="dxa"/>
              <w:left w:w="0" w:type="dxa"/>
              <w:bottom w:w="0" w:type="dxa"/>
              <w:right w:w="15" w:type="dxa"/>
            </w:tcMar>
            <w:vAlign w:val="bottom"/>
          </w:tcPr>
          <w:p w14:paraId="2A1D04A0" w14:textId="77777777" w:rsidR="009A5AEC" w:rsidRDefault="00000000">
            <w:pPr>
              <w:pStyle w:val="Normal0"/>
              <w:jc w:val="right"/>
              <w:rPr>
                <w:color w:val="000000"/>
                <w:sz w:val="20"/>
              </w:rPr>
            </w:pPr>
            <w:r>
              <w:rPr>
                <w:color w:val="000000"/>
                <w:sz w:val="20"/>
              </w:rPr>
              <w:t>—</w:t>
            </w:r>
          </w:p>
        </w:tc>
        <w:tc>
          <w:tcPr>
            <w:tcW w:w="50" w:type="pct"/>
            <w:shd w:val="clear" w:color="auto" w:fill="FFFFFF"/>
            <w:noWrap/>
            <w:tcMar>
              <w:top w:w="15" w:type="dxa"/>
              <w:left w:w="0" w:type="dxa"/>
              <w:bottom w:w="0" w:type="dxa"/>
              <w:right w:w="15" w:type="dxa"/>
            </w:tcMar>
            <w:vAlign w:val="bottom"/>
          </w:tcPr>
          <w:p w14:paraId="36472A4B"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632E539D"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034A9C1C" w14:textId="77777777" w:rsidR="009A5AEC" w:rsidRDefault="00000000">
            <w:pPr>
              <w:pStyle w:val="Normal0"/>
              <w:rPr>
                <w:color w:val="000000"/>
                <w:sz w:val="20"/>
              </w:rPr>
            </w:pPr>
            <w:r>
              <w:rPr>
                <w:color w:val="000000"/>
                <w:sz w:val="20"/>
              </w:rPr>
              <w:t xml:space="preserve"> </w:t>
            </w:r>
          </w:p>
        </w:tc>
        <w:tc>
          <w:tcPr>
            <w:tcW w:w="794" w:type="pct"/>
            <w:shd w:val="clear" w:color="auto" w:fill="FFFFFF"/>
            <w:noWrap/>
            <w:tcMar>
              <w:top w:w="15" w:type="dxa"/>
              <w:left w:w="0" w:type="dxa"/>
              <w:bottom w:w="0" w:type="dxa"/>
              <w:right w:w="15" w:type="dxa"/>
            </w:tcMar>
            <w:vAlign w:val="bottom"/>
          </w:tcPr>
          <w:p w14:paraId="60538B21" w14:textId="77777777" w:rsidR="009A5AEC" w:rsidRDefault="00000000">
            <w:pPr>
              <w:pStyle w:val="Normal0"/>
              <w:jc w:val="right"/>
              <w:rPr>
                <w:color w:val="000000"/>
                <w:sz w:val="20"/>
              </w:rPr>
            </w:pPr>
            <w:r>
              <w:rPr>
                <w:color w:val="000000"/>
                <w:sz w:val="20"/>
              </w:rPr>
              <w:t>59,453</w:t>
            </w:r>
          </w:p>
        </w:tc>
        <w:tc>
          <w:tcPr>
            <w:tcW w:w="50" w:type="pct"/>
            <w:shd w:val="clear" w:color="auto" w:fill="FFFFFF"/>
            <w:noWrap/>
            <w:tcMar>
              <w:top w:w="15" w:type="dxa"/>
              <w:left w:w="0" w:type="dxa"/>
              <w:bottom w:w="0" w:type="dxa"/>
              <w:right w:w="15" w:type="dxa"/>
            </w:tcMar>
            <w:vAlign w:val="bottom"/>
          </w:tcPr>
          <w:p w14:paraId="000D4A3C" w14:textId="77777777" w:rsidR="009A5AEC" w:rsidRDefault="00000000">
            <w:pPr>
              <w:pStyle w:val="Normal0"/>
              <w:rPr>
                <w:color w:val="000000"/>
                <w:sz w:val="20"/>
              </w:rPr>
            </w:pPr>
            <w:r>
              <w:rPr>
                <w:color w:val="000000"/>
                <w:sz w:val="20"/>
              </w:rPr>
              <w:t xml:space="preserve"> </w:t>
            </w:r>
          </w:p>
        </w:tc>
      </w:tr>
      <w:tr w:rsidR="003116D1" w14:paraId="64C9BFEA" w14:textId="77777777">
        <w:trPr>
          <w:cantSplit/>
          <w:jc w:val="center"/>
        </w:trPr>
        <w:tc>
          <w:tcPr>
            <w:tcW w:w="3042" w:type="pct"/>
            <w:shd w:val="clear" w:color="auto" w:fill="FFFFFF"/>
            <w:tcMar>
              <w:top w:w="15" w:type="dxa"/>
              <w:left w:w="0" w:type="dxa"/>
              <w:bottom w:w="0" w:type="dxa"/>
              <w:right w:w="15" w:type="dxa"/>
            </w:tcMar>
            <w:vAlign w:val="bottom"/>
          </w:tcPr>
          <w:p w14:paraId="39EDFA80" w14:textId="77777777" w:rsidR="009A5AEC" w:rsidRDefault="00000000">
            <w:pPr>
              <w:pStyle w:val="Normal0"/>
              <w:keepNext/>
              <w:ind w:left="274"/>
              <w:rPr>
                <w:color w:val="000000"/>
                <w:sz w:val="20"/>
              </w:rPr>
            </w:pPr>
            <w:r>
              <w:rPr>
                <w:color w:val="000000"/>
                <w:sz w:val="20"/>
              </w:rPr>
              <w:t xml:space="preserve"> Investment loss</w:t>
            </w:r>
          </w:p>
        </w:tc>
        <w:tc>
          <w:tcPr>
            <w:tcW w:w="84" w:type="pct"/>
            <w:shd w:val="clear" w:color="auto" w:fill="FFFFFF"/>
            <w:tcMar>
              <w:top w:w="15" w:type="dxa"/>
              <w:left w:w="0" w:type="dxa"/>
              <w:bottom w:w="0" w:type="dxa"/>
              <w:right w:w="15" w:type="dxa"/>
            </w:tcMar>
            <w:vAlign w:val="bottom"/>
          </w:tcPr>
          <w:p w14:paraId="79AFDA34"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6A53057C" w14:textId="77777777" w:rsidR="009A5AEC" w:rsidRDefault="00000000">
            <w:pPr>
              <w:pStyle w:val="Normal0"/>
              <w:rPr>
                <w:color w:val="000000"/>
                <w:sz w:val="20"/>
              </w:rPr>
            </w:pPr>
            <w:r>
              <w:rPr>
                <w:color w:val="000000"/>
                <w:sz w:val="20"/>
              </w:rPr>
              <w:t xml:space="preserve"> </w:t>
            </w:r>
          </w:p>
        </w:tc>
        <w:tc>
          <w:tcPr>
            <w:tcW w:w="794" w:type="pct"/>
            <w:shd w:val="clear" w:color="auto" w:fill="FFFFFF"/>
            <w:noWrap/>
            <w:tcMar>
              <w:top w:w="15" w:type="dxa"/>
              <w:left w:w="0" w:type="dxa"/>
              <w:bottom w:w="0" w:type="dxa"/>
              <w:right w:w="15" w:type="dxa"/>
            </w:tcMar>
            <w:vAlign w:val="bottom"/>
          </w:tcPr>
          <w:p w14:paraId="0E0644FC" w14:textId="77777777" w:rsidR="009A5AEC" w:rsidRDefault="00000000">
            <w:pPr>
              <w:pStyle w:val="Normal0"/>
              <w:jc w:val="right"/>
              <w:rPr>
                <w:color w:val="000000"/>
                <w:sz w:val="20"/>
              </w:rPr>
            </w:pPr>
            <w:r>
              <w:rPr>
                <w:color w:val="000000"/>
                <w:sz w:val="20"/>
              </w:rPr>
              <w:t>(4,449</w:t>
            </w:r>
          </w:p>
        </w:tc>
        <w:tc>
          <w:tcPr>
            <w:tcW w:w="50" w:type="pct"/>
            <w:shd w:val="clear" w:color="auto" w:fill="FFFFFF"/>
            <w:noWrap/>
            <w:tcMar>
              <w:top w:w="15" w:type="dxa"/>
              <w:left w:w="0" w:type="dxa"/>
              <w:bottom w:w="0" w:type="dxa"/>
              <w:right w:w="15" w:type="dxa"/>
            </w:tcMar>
            <w:vAlign w:val="bottom"/>
          </w:tcPr>
          <w:p w14:paraId="21913058" w14:textId="77777777" w:rsidR="009A5AEC" w:rsidRDefault="00000000">
            <w:pPr>
              <w:pStyle w:val="Normal0"/>
              <w:rPr>
                <w:color w:val="000000"/>
                <w:sz w:val="20"/>
              </w:rPr>
            </w:pPr>
            <w:r>
              <w:rPr>
                <w:color w:val="000000"/>
                <w:sz w:val="20"/>
              </w:rPr>
              <w:t>)</w:t>
            </w:r>
          </w:p>
        </w:tc>
        <w:tc>
          <w:tcPr>
            <w:tcW w:w="84" w:type="pct"/>
            <w:shd w:val="clear" w:color="auto" w:fill="FFFFFF"/>
            <w:tcMar>
              <w:top w:w="15" w:type="dxa"/>
              <w:left w:w="0" w:type="dxa"/>
              <w:bottom w:w="0" w:type="dxa"/>
              <w:right w:w="15" w:type="dxa"/>
            </w:tcMar>
            <w:vAlign w:val="bottom"/>
          </w:tcPr>
          <w:p w14:paraId="59F86DAB"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2A9420D3" w14:textId="77777777" w:rsidR="009A5AEC" w:rsidRDefault="00000000">
            <w:pPr>
              <w:pStyle w:val="Normal0"/>
              <w:rPr>
                <w:color w:val="000000"/>
                <w:sz w:val="20"/>
              </w:rPr>
            </w:pPr>
            <w:r>
              <w:rPr>
                <w:color w:val="000000"/>
                <w:sz w:val="20"/>
              </w:rPr>
              <w:t xml:space="preserve"> </w:t>
            </w:r>
          </w:p>
        </w:tc>
        <w:tc>
          <w:tcPr>
            <w:tcW w:w="794" w:type="pct"/>
            <w:shd w:val="clear" w:color="auto" w:fill="FFFFFF"/>
            <w:noWrap/>
            <w:tcMar>
              <w:top w:w="15" w:type="dxa"/>
              <w:left w:w="0" w:type="dxa"/>
              <w:bottom w:w="0" w:type="dxa"/>
              <w:right w:w="15" w:type="dxa"/>
            </w:tcMar>
            <w:vAlign w:val="bottom"/>
          </w:tcPr>
          <w:p w14:paraId="0FBC011E" w14:textId="77777777" w:rsidR="009A5AEC" w:rsidRDefault="00000000">
            <w:pPr>
              <w:pStyle w:val="Normal0"/>
              <w:jc w:val="right"/>
              <w:rPr>
                <w:color w:val="000000"/>
                <w:sz w:val="20"/>
              </w:rPr>
            </w:pPr>
            <w:r>
              <w:rPr>
                <w:color w:val="000000"/>
                <w:sz w:val="20"/>
              </w:rPr>
              <w:t>(18,665</w:t>
            </w:r>
          </w:p>
        </w:tc>
        <w:tc>
          <w:tcPr>
            <w:tcW w:w="50" w:type="pct"/>
            <w:shd w:val="clear" w:color="auto" w:fill="FFFFFF"/>
            <w:noWrap/>
            <w:tcMar>
              <w:top w:w="15" w:type="dxa"/>
              <w:left w:w="0" w:type="dxa"/>
              <w:bottom w:w="0" w:type="dxa"/>
              <w:right w:w="15" w:type="dxa"/>
            </w:tcMar>
            <w:vAlign w:val="bottom"/>
          </w:tcPr>
          <w:p w14:paraId="3A8393CC" w14:textId="77777777" w:rsidR="009A5AEC" w:rsidRDefault="00000000">
            <w:pPr>
              <w:pStyle w:val="Normal0"/>
              <w:rPr>
                <w:color w:val="000000"/>
                <w:sz w:val="20"/>
              </w:rPr>
            </w:pPr>
            <w:r>
              <w:rPr>
                <w:color w:val="000000"/>
                <w:sz w:val="20"/>
              </w:rPr>
              <w:t>)</w:t>
            </w:r>
          </w:p>
        </w:tc>
      </w:tr>
      <w:tr w:rsidR="003116D1" w14:paraId="1F636CDA" w14:textId="77777777">
        <w:trPr>
          <w:cantSplit/>
          <w:jc w:val="center"/>
        </w:trPr>
        <w:tc>
          <w:tcPr>
            <w:tcW w:w="3042" w:type="pct"/>
            <w:shd w:val="clear" w:color="auto" w:fill="FFFFFF"/>
            <w:tcMar>
              <w:top w:w="15" w:type="dxa"/>
              <w:left w:w="0" w:type="dxa"/>
              <w:bottom w:w="0" w:type="dxa"/>
              <w:right w:w="15" w:type="dxa"/>
            </w:tcMar>
            <w:vAlign w:val="bottom"/>
          </w:tcPr>
          <w:p w14:paraId="2AD466CD" w14:textId="77777777" w:rsidR="009A5AEC" w:rsidRDefault="00000000">
            <w:pPr>
              <w:pStyle w:val="Normal0"/>
              <w:keepNext/>
              <w:ind w:left="274"/>
              <w:rPr>
                <w:color w:val="000000"/>
                <w:sz w:val="20"/>
              </w:rPr>
            </w:pPr>
            <w:r>
              <w:rPr>
                <w:color w:val="000000"/>
                <w:sz w:val="20"/>
              </w:rPr>
              <w:t xml:space="preserve"> Other income, net</w:t>
            </w:r>
          </w:p>
        </w:tc>
        <w:tc>
          <w:tcPr>
            <w:tcW w:w="84" w:type="pct"/>
            <w:shd w:val="clear" w:color="auto" w:fill="FFFFFF"/>
            <w:tcMar>
              <w:top w:w="15" w:type="dxa"/>
              <w:left w:w="0" w:type="dxa"/>
              <w:bottom w:w="0" w:type="dxa"/>
              <w:right w:w="15" w:type="dxa"/>
            </w:tcMar>
            <w:vAlign w:val="bottom"/>
          </w:tcPr>
          <w:p w14:paraId="31788471"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777D9ED7" w14:textId="77777777" w:rsidR="009A5AEC" w:rsidRDefault="00000000">
            <w:pPr>
              <w:pStyle w:val="Normal0"/>
              <w:rPr>
                <w:color w:val="000000"/>
                <w:sz w:val="20"/>
              </w:rPr>
            </w:pPr>
            <w:r>
              <w:rPr>
                <w:color w:val="000000"/>
                <w:sz w:val="20"/>
              </w:rPr>
              <w:t xml:space="preserve"> </w:t>
            </w:r>
          </w:p>
        </w:tc>
        <w:tc>
          <w:tcPr>
            <w:tcW w:w="794" w:type="pct"/>
            <w:tcBorders>
              <w:bottom w:val="single" w:sz="2" w:space="0" w:color="000000"/>
            </w:tcBorders>
            <w:shd w:val="clear" w:color="auto" w:fill="FFFFFF"/>
            <w:noWrap/>
            <w:tcMar>
              <w:top w:w="15" w:type="dxa"/>
              <w:left w:w="0" w:type="dxa"/>
              <w:bottom w:w="0" w:type="dxa"/>
              <w:right w:w="15" w:type="dxa"/>
            </w:tcMar>
            <w:vAlign w:val="bottom"/>
          </w:tcPr>
          <w:p w14:paraId="29439C5D" w14:textId="77777777" w:rsidR="009A5AEC" w:rsidRDefault="00000000">
            <w:pPr>
              <w:pStyle w:val="Normal0"/>
              <w:jc w:val="right"/>
              <w:rPr>
                <w:color w:val="000000"/>
                <w:sz w:val="20"/>
              </w:rPr>
            </w:pPr>
            <w:r>
              <w:rPr>
                <w:color w:val="000000"/>
                <w:sz w:val="20"/>
              </w:rPr>
              <w:t>14</w:t>
            </w:r>
          </w:p>
        </w:tc>
        <w:tc>
          <w:tcPr>
            <w:tcW w:w="50" w:type="pct"/>
            <w:shd w:val="clear" w:color="auto" w:fill="FFFFFF"/>
            <w:noWrap/>
            <w:tcMar>
              <w:top w:w="15" w:type="dxa"/>
              <w:left w:w="0" w:type="dxa"/>
              <w:bottom w:w="0" w:type="dxa"/>
              <w:right w:w="15" w:type="dxa"/>
            </w:tcMar>
            <w:vAlign w:val="bottom"/>
          </w:tcPr>
          <w:p w14:paraId="21D251D0"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1C994A9E"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3FD04FC3" w14:textId="77777777" w:rsidR="009A5AEC" w:rsidRDefault="00000000">
            <w:pPr>
              <w:pStyle w:val="Normal0"/>
              <w:rPr>
                <w:color w:val="000000"/>
                <w:sz w:val="20"/>
              </w:rPr>
            </w:pPr>
            <w:r>
              <w:rPr>
                <w:color w:val="000000"/>
                <w:sz w:val="20"/>
              </w:rPr>
              <w:t xml:space="preserve"> </w:t>
            </w:r>
          </w:p>
        </w:tc>
        <w:tc>
          <w:tcPr>
            <w:tcW w:w="794" w:type="pct"/>
            <w:tcBorders>
              <w:bottom w:val="single" w:sz="2" w:space="0" w:color="000000"/>
            </w:tcBorders>
            <w:shd w:val="clear" w:color="auto" w:fill="FFFFFF"/>
            <w:noWrap/>
            <w:tcMar>
              <w:top w:w="15" w:type="dxa"/>
              <w:left w:w="0" w:type="dxa"/>
              <w:bottom w:w="0" w:type="dxa"/>
              <w:right w:w="15" w:type="dxa"/>
            </w:tcMar>
            <w:vAlign w:val="bottom"/>
          </w:tcPr>
          <w:p w14:paraId="3590C6CE" w14:textId="77777777" w:rsidR="009A5AEC" w:rsidRDefault="00000000">
            <w:pPr>
              <w:pStyle w:val="Normal0"/>
              <w:jc w:val="right"/>
              <w:rPr>
                <w:color w:val="000000"/>
                <w:sz w:val="20"/>
              </w:rPr>
            </w:pPr>
            <w:r>
              <w:rPr>
                <w:color w:val="000000"/>
                <w:sz w:val="20"/>
              </w:rPr>
              <w:t>271</w:t>
            </w:r>
          </w:p>
        </w:tc>
        <w:tc>
          <w:tcPr>
            <w:tcW w:w="50" w:type="pct"/>
            <w:shd w:val="clear" w:color="auto" w:fill="FFFFFF"/>
            <w:noWrap/>
            <w:tcMar>
              <w:top w:w="15" w:type="dxa"/>
              <w:left w:w="0" w:type="dxa"/>
              <w:bottom w:w="0" w:type="dxa"/>
              <w:right w:w="15" w:type="dxa"/>
            </w:tcMar>
            <w:vAlign w:val="bottom"/>
          </w:tcPr>
          <w:p w14:paraId="0E2793F2" w14:textId="77777777" w:rsidR="009A5AEC" w:rsidRDefault="00000000">
            <w:pPr>
              <w:pStyle w:val="Normal0"/>
              <w:rPr>
                <w:color w:val="000000"/>
                <w:sz w:val="20"/>
              </w:rPr>
            </w:pPr>
            <w:r>
              <w:rPr>
                <w:color w:val="000000"/>
                <w:sz w:val="20"/>
              </w:rPr>
              <w:t xml:space="preserve"> </w:t>
            </w:r>
          </w:p>
        </w:tc>
      </w:tr>
      <w:tr w:rsidR="003116D1" w14:paraId="125A71EE" w14:textId="77777777">
        <w:trPr>
          <w:cantSplit/>
          <w:jc w:val="center"/>
        </w:trPr>
        <w:tc>
          <w:tcPr>
            <w:tcW w:w="3042" w:type="pct"/>
            <w:shd w:val="clear" w:color="auto" w:fill="FFFFFF"/>
            <w:tcMar>
              <w:top w:w="15" w:type="dxa"/>
              <w:left w:w="0" w:type="dxa"/>
              <w:bottom w:w="0" w:type="dxa"/>
              <w:right w:w="15" w:type="dxa"/>
            </w:tcMar>
            <w:vAlign w:val="bottom"/>
          </w:tcPr>
          <w:p w14:paraId="4453BB0A" w14:textId="77777777" w:rsidR="009A5AEC" w:rsidRDefault="00000000">
            <w:pPr>
              <w:pStyle w:val="Normal0"/>
              <w:keepNext/>
              <w:rPr>
                <w:color w:val="000000"/>
                <w:sz w:val="20"/>
              </w:rPr>
            </w:pPr>
            <w:r>
              <w:rPr>
                <w:color w:val="000000"/>
                <w:sz w:val="20"/>
              </w:rPr>
              <w:t xml:space="preserve"> (LOSS) INCOME BEFORE INCOME TAXES</w:t>
            </w:r>
          </w:p>
        </w:tc>
        <w:tc>
          <w:tcPr>
            <w:tcW w:w="84" w:type="pct"/>
            <w:shd w:val="clear" w:color="auto" w:fill="FFFFFF"/>
            <w:tcMar>
              <w:top w:w="15" w:type="dxa"/>
              <w:left w:w="0" w:type="dxa"/>
              <w:bottom w:w="0" w:type="dxa"/>
              <w:right w:w="15" w:type="dxa"/>
            </w:tcMar>
            <w:vAlign w:val="bottom"/>
          </w:tcPr>
          <w:p w14:paraId="5B3B5249"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0DD0AAB1" w14:textId="77777777" w:rsidR="009A5AEC" w:rsidRDefault="00000000">
            <w:pPr>
              <w:pStyle w:val="Normal0"/>
              <w:rPr>
                <w:color w:val="000000"/>
                <w:sz w:val="20"/>
              </w:rPr>
            </w:pPr>
            <w:r>
              <w:rPr>
                <w:color w:val="000000"/>
                <w:sz w:val="20"/>
              </w:rPr>
              <w:t xml:space="preserve"> </w:t>
            </w:r>
          </w:p>
        </w:tc>
        <w:tc>
          <w:tcPr>
            <w:tcW w:w="794" w:type="pct"/>
            <w:tcBorders>
              <w:top w:val="single" w:sz="2" w:space="0" w:color="000000"/>
            </w:tcBorders>
            <w:shd w:val="clear" w:color="auto" w:fill="FFFFFF"/>
            <w:noWrap/>
            <w:tcMar>
              <w:top w:w="15" w:type="dxa"/>
              <w:left w:w="0" w:type="dxa"/>
              <w:bottom w:w="0" w:type="dxa"/>
              <w:right w:w="15" w:type="dxa"/>
            </w:tcMar>
            <w:vAlign w:val="bottom"/>
          </w:tcPr>
          <w:p w14:paraId="1930F88F" w14:textId="77777777" w:rsidR="009A5AEC" w:rsidRDefault="00000000">
            <w:pPr>
              <w:pStyle w:val="Normal0"/>
              <w:jc w:val="right"/>
              <w:rPr>
                <w:color w:val="000000"/>
                <w:sz w:val="20"/>
              </w:rPr>
            </w:pPr>
            <w:r>
              <w:rPr>
                <w:color w:val="000000"/>
                <w:sz w:val="20"/>
              </w:rPr>
              <w:t>(3,969</w:t>
            </w:r>
          </w:p>
        </w:tc>
        <w:tc>
          <w:tcPr>
            <w:tcW w:w="50" w:type="pct"/>
            <w:shd w:val="clear" w:color="auto" w:fill="FFFFFF"/>
            <w:noWrap/>
            <w:tcMar>
              <w:top w:w="15" w:type="dxa"/>
              <w:left w:w="0" w:type="dxa"/>
              <w:bottom w:w="0" w:type="dxa"/>
              <w:right w:w="15" w:type="dxa"/>
            </w:tcMar>
            <w:vAlign w:val="bottom"/>
          </w:tcPr>
          <w:p w14:paraId="06BC3888" w14:textId="77777777" w:rsidR="009A5AEC" w:rsidRDefault="00000000">
            <w:pPr>
              <w:pStyle w:val="Normal0"/>
              <w:rPr>
                <w:color w:val="000000"/>
                <w:sz w:val="20"/>
              </w:rPr>
            </w:pPr>
            <w:r>
              <w:rPr>
                <w:color w:val="000000"/>
                <w:sz w:val="20"/>
              </w:rPr>
              <w:t>)</w:t>
            </w:r>
          </w:p>
        </w:tc>
        <w:tc>
          <w:tcPr>
            <w:tcW w:w="84" w:type="pct"/>
            <w:shd w:val="clear" w:color="auto" w:fill="FFFFFF"/>
            <w:tcMar>
              <w:top w:w="15" w:type="dxa"/>
              <w:left w:w="0" w:type="dxa"/>
              <w:bottom w:w="0" w:type="dxa"/>
              <w:right w:w="15" w:type="dxa"/>
            </w:tcMar>
            <w:vAlign w:val="bottom"/>
          </w:tcPr>
          <w:p w14:paraId="7DD15DD1"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640925C4" w14:textId="77777777" w:rsidR="009A5AEC" w:rsidRDefault="00000000">
            <w:pPr>
              <w:pStyle w:val="Normal0"/>
              <w:rPr>
                <w:color w:val="000000"/>
                <w:sz w:val="20"/>
              </w:rPr>
            </w:pPr>
            <w:r>
              <w:rPr>
                <w:color w:val="000000"/>
                <w:sz w:val="20"/>
              </w:rPr>
              <w:t xml:space="preserve"> </w:t>
            </w:r>
          </w:p>
        </w:tc>
        <w:tc>
          <w:tcPr>
            <w:tcW w:w="794" w:type="pct"/>
            <w:tcBorders>
              <w:top w:val="single" w:sz="2" w:space="0" w:color="000000"/>
            </w:tcBorders>
            <w:shd w:val="clear" w:color="auto" w:fill="FFFFFF"/>
            <w:noWrap/>
            <w:tcMar>
              <w:top w:w="15" w:type="dxa"/>
              <w:left w:w="0" w:type="dxa"/>
              <w:bottom w:w="0" w:type="dxa"/>
              <w:right w:w="15" w:type="dxa"/>
            </w:tcMar>
            <w:vAlign w:val="bottom"/>
          </w:tcPr>
          <w:p w14:paraId="4DFAC05F" w14:textId="77777777" w:rsidR="009A5AEC" w:rsidRDefault="00000000">
            <w:pPr>
              <w:pStyle w:val="Normal0"/>
              <w:jc w:val="right"/>
              <w:rPr>
                <w:color w:val="000000"/>
                <w:sz w:val="20"/>
              </w:rPr>
            </w:pPr>
            <w:r>
              <w:rPr>
                <w:color w:val="000000"/>
                <w:sz w:val="20"/>
              </w:rPr>
              <w:t>40,869</w:t>
            </w:r>
          </w:p>
        </w:tc>
        <w:tc>
          <w:tcPr>
            <w:tcW w:w="50" w:type="pct"/>
            <w:shd w:val="clear" w:color="auto" w:fill="FFFFFF"/>
            <w:noWrap/>
            <w:tcMar>
              <w:top w:w="15" w:type="dxa"/>
              <w:left w:w="0" w:type="dxa"/>
              <w:bottom w:w="0" w:type="dxa"/>
              <w:right w:w="15" w:type="dxa"/>
            </w:tcMar>
            <w:vAlign w:val="bottom"/>
          </w:tcPr>
          <w:p w14:paraId="27B2D321" w14:textId="77777777" w:rsidR="009A5AEC" w:rsidRDefault="00000000">
            <w:pPr>
              <w:pStyle w:val="Normal0"/>
              <w:rPr>
                <w:color w:val="000000"/>
                <w:sz w:val="20"/>
              </w:rPr>
            </w:pPr>
            <w:r>
              <w:rPr>
                <w:color w:val="000000"/>
                <w:sz w:val="20"/>
              </w:rPr>
              <w:t xml:space="preserve"> </w:t>
            </w:r>
          </w:p>
        </w:tc>
      </w:tr>
      <w:tr w:rsidR="003116D1" w14:paraId="223373B8" w14:textId="77777777">
        <w:trPr>
          <w:cantSplit/>
          <w:jc w:val="center"/>
        </w:trPr>
        <w:tc>
          <w:tcPr>
            <w:tcW w:w="3042" w:type="pct"/>
            <w:shd w:val="clear" w:color="auto" w:fill="FFFFFF"/>
            <w:tcMar>
              <w:top w:w="15" w:type="dxa"/>
              <w:left w:w="0" w:type="dxa"/>
              <w:bottom w:w="0" w:type="dxa"/>
              <w:right w:w="15" w:type="dxa"/>
            </w:tcMar>
            <w:vAlign w:val="bottom"/>
          </w:tcPr>
          <w:p w14:paraId="32D1823E" w14:textId="77777777" w:rsidR="009A5AEC" w:rsidRDefault="00000000">
            <w:pPr>
              <w:pStyle w:val="Normal0"/>
              <w:keepNext/>
              <w:rPr>
                <w:color w:val="000000"/>
                <w:sz w:val="20"/>
              </w:rPr>
            </w:pPr>
            <w:r>
              <w:rPr>
                <w:color w:val="000000"/>
                <w:sz w:val="20"/>
              </w:rPr>
              <w:t xml:space="preserve"> Income tax (benefit) expense</w:t>
            </w:r>
          </w:p>
        </w:tc>
        <w:tc>
          <w:tcPr>
            <w:tcW w:w="84" w:type="pct"/>
            <w:shd w:val="clear" w:color="auto" w:fill="FFFFFF"/>
            <w:tcMar>
              <w:top w:w="15" w:type="dxa"/>
              <w:left w:w="0" w:type="dxa"/>
              <w:bottom w:w="0" w:type="dxa"/>
              <w:right w:w="15" w:type="dxa"/>
            </w:tcMar>
            <w:vAlign w:val="bottom"/>
          </w:tcPr>
          <w:p w14:paraId="2A7E42A4"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48CF574F" w14:textId="77777777" w:rsidR="009A5AEC" w:rsidRDefault="00000000">
            <w:pPr>
              <w:pStyle w:val="Normal0"/>
              <w:rPr>
                <w:color w:val="000000"/>
                <w:sz w:val="20"/>
              </w:rPr>
            </w:pPr>
            <w:r>
              <w:rPr>
                <w:color w:val="000000"/>
                <w:sz w:val="20"/>
              </w:rPr>
              <w:t xml:space="preserve"> </w:t>
            </w:r>
          </w:p>
        </w:tc>
        <w:tc>
          <w:tcPr>
            <w:tcW w:w="794" w:type="pct"/>
            <w:tcBorders>
              <w:bottom w:val="single" w:sz="2" w:space="0" w:color="000000"/>
            </w:tcBorders>
            <w:shd w:val="clear" w:color="auto" w:fill="FFFFFF"/>
            <w:noWrap/>
            <w:tcMar>
              <w:top w:w="15" w:type="dxa"/>
              <w:left w:w="0" w:type="dxa"/>
              <w:bottom w:w="0" w:type="dxa"/>
              <w:right w:w="15" w:type="dxa"/>
            </w:tcMar>
            <w:vAlign w:val="bottom"/>
          </w:tcPr>
          <w:p w14:paraId="55554159" w14:textId="77777777" w:rsidR="009A5AEC" w:rsidRDefault="00000000">
            <w:pPr>
              <w:pStyle w:val="Normal0"/>
              <w:jc w:val="right"/>
              <w:rPr>
                <w:color w:val="000000"/>
                <w:sz w:val="20"/>
              </w:rPr>
            </w:pPr>
            <w:r>
              <w:rPr>
                <w:color w:val="000000"/>
                <w:sz w:val="20"/>
              </w:rPr>
              <w:t>(881</w:t>
            </w:r>
          </w:p>
        </w:tc>
        <w:tc>
          <w:tcPr>
            <w:tcW w:w="50" w:type="pct"/>
            <w:shd w:val="clear" w:color="auto" w:fill="FFFFFF"/>
            <w:noWrap/>
            <w:tcMar>
              <w:top w:w="15" w:type="dxa"/>
              <w:left w:w="0" w:type="dxa"/>
              <w:bottom w:w="0" w:type="dxa"/>
              <w:right w:w="15" w:type="dxa"/>
            </w:tcMar>
            <w:vAlign w:val="bottom"/>
          </w:tcPr>
          <w:p w14:paraId="42B8D065" w14:textId="77777777" w:rsidR="009A5AEC" w:rsidRDefault="00000000">
            <w:pPr>
              <w:pStyle w:val="Normal0"/>
              <w:rPr>
                <w:color w:val="000000"/>
                <w:sz w:val="20"/>
              </w:rPr>
            </w:pPr>
            <w:r>
              <w:rPr>
                <w:color w:val="000000"/>
                <w:sz w:val="20"/>
              </w:rPr>
              <w:t>)</w:t>
            </w:r>
          </w:p>
        </w:tc>
        <w:tc>
          <w:tcPr>
            <w:tcW w:w="84" w:type="pct"/>
            <w:shd w:val="clear" w:color="auto" w:fill="FFFFFF"/>
            <w:tcMar>
              <w:top w:w="15" w:type="dxa"/>
              <w:left w:w="0" w:type="dxa"/>
              <w:bottom w:w="0" w:type="dxa"/>
              <w:right w:w="15" w:type="dxa"/>
            </w:tcMar>
            <w:vAlign w:val="bottom"/>
          </w:tcPr>
          <w:p w14:paraId="471F7D18"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1E0EE9B9" w14:textId="77777777" w:rsidR="009A5AEC" w:rsidRDefault="00000000">
            <w:pPr>
              <w:pStyle w:val="Normal0"/>
              <w:rPr>
                <w:color w:val="000000"/>
                <w:sz w:val="20"/>
              </w:rPr>
            </w:pPr>
            <w:r>
              <w:rPr>
                <w:color w:val="000000"/>
                <w:sz w:val="20"/>
              </w:rPr>
              <w:t xml:space="preserve"> </w:t>
            </w:r>
          </w:p>
        </w:tc>
        <w:tc>
          <w:tcPr>
            <w:tcW w:w="794" w:type="pct"/>
            <w:tcBorders>
              <w:bottom w:val="single" w:sz="2" w:space="0" w:color="000000"/>
            </w:tcBorders>
            <w:shd w:val="clear" w:color="auto" w:fill="FFFFFF"/>
            <w:noWrap/>
            <w:tcMar>
              <w:top w:w="15" w:type="dxa"/>
              <w:left w:w="0" w:type="dxa"/>
              <w:bottom w:w="0" w:type="dxa"/>
              <w:right w:w="15" w:type="dxa"/>
            </w:tcMar>
            <w:vAlign w:val="bottom"/>
          </w:tcPr>
          <w:p w14:paraId="3D29162E" w14:textId="77777777" w:rsidR="009A5AEC" w:rsidRDefault="00000000">
            <w:pPr>
              <w:pStyle w:val="Normal0"/>
              <w:jc w:val="right"/>
              <w:rPr>
                <w:color w:val="000000"/>
                <w:sz w:val="20"/>
              </w:rPr>
            </w:pPr>
            <w:r>
              <w:rPr>
                <w:color w:val="000000"/>
                <w:sz w:val="20"/>
              </w:rPr>
              <w:t>9,080</w:t>
            </w:r>
          </w:p>
        </w:tc>
        <w:tc>
          <w:tcPr>
            <w:tcW w:w="50" w:type="pct"/>
            <w:shd w:val="clear" w:color="auto" w:fill="FFFFFF"/>
            <w:noWrap/>
            <w:tcMar>
              <w:top w:w="15" w:type="dxa"/>
              <w:left w:w="0" w:type="dxa"/>
              <w:bottom w:w="0" w:type="dxa"/>
              <w:right w:w="15" w:type="dxa"/>
            </w:tcMar>
            <w:vAlign w:val="bottom"/>
          </w:tcPr>
          <w:p w14:paraId="6C44B07C" w14:textId="77777777" w:rsidR="009A5AEC" w:rsidRDefault="00000000">
            <w:pPr>
              <w:pStyle w:val="Normal0"/>
              <w:rPr>
                <w:color w:val="000000"/>
                <w:sz w:val="20"/>
              </w:rPr>
            </w:pPr>
            <w:r>
              <w:rPr>
                <w:color w:val="000000"/>
                <w:sz w:val="20"/>
              </w:rPr>
              <w:t xml:space="preserve"> </w:t>
            </w:r>
          </w:p>
        </w:tc>
      </w:tr>
      <w:tr w:rsidR="003116D1" w14:paraId="03B9E575" w14:textId="77777777">
        <w:trPr>
          <w:cantSplit/>
          <w:jc w:val="center"/>
        </w:trPr>
        <w:tc>
          <w:tcPr>
            <w:tcW w:w="3042" w:type="pct"/>
            <w:shd w:val="clear" w:color="auto" w:fill="FFFFFF"/>
            <w:tcMar>
              <w:top w:w="15" w:type="dxa"/>
              <w:left w:w="0" w:type="dxa"/>
              <w:bottom w:w="0" w:type="dxa"/>
              <w:right w:w="15" w:type="dxa"/>
            </w:tcMar>
            <w:vAlign w:val="bottom"/>
          </w:tcPr>
          <w:p w14:paraId="2AEB1843" w14:textId="77777777" w:rsidR="009A5AEC" w:rsidRDefault="00000000">
            <w:pPr>
              <w:pStyle w:val="Normal0"/>
              <w:keepNext/>
              <w:rPr>
                <w:color w:val="000000"/>
                <w:sz w:val="20"/>
              </w:rPr>
            </w:pPr>
            <w:r>
              <w:rPr>
                <w:color w:val="000000"/>
                <w:sz w:val="20"/>
              </w:rPr>
              <w:t xml:space="preserve"> NET (LOSS) INCOME</w:t>
            </w:r>
          </w:p>
        </w:tc>
        <w:tc>
          <w:tcPr>
            <w:tcW w:w="84" w:type="pct"/>
            <w:shd w:val="clear" w:color="auto" w:fill="FFFFFF"/>
            <w:tcMar>
              <w:top w:w="15" w:type="dxa"/>
              <w:left w:w="0" w:type="dxa"/>
              <w:bottom w:w="0" w:type="dxa"/>
              <w:right w:w="15" w:type="dxa"/>
            </w:tcMar>
            <w:vAlign w:val="bottom"/>
          </w:tcPr>
          <w:p w14:paraId="180E8195"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7F8DF04A" w14:textId="77777777" w:rsidR="009A5AEC" w:rsidRDefault="00000000">
            <w:pPr>
              <w:pStyle w:val="Normal0"/>
              <w:rPr>
                <w:color w:val="000000"/>
                <w:sz w:val="20"/>
              </w:rPr>
            </w:pPr>
            <w:r>
              <w:rPr>
                <w:color w:val="000000"/>
                <w:sz w:val="20"/>
              </w:rPr>
              <w:t>$</w:t>
            </w:r>
          </w:p>
        </w:tc>
        <w:tc>
          <w:tcPr>
            <w:tcW w:w="794"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03484BCF" w14:textId="77777777" w:rsidR="009A5AEC" w:rsidRDefault="00000000">
            <w:pPr>
              <w:pStyle w:val="Normal0"/>
              <w:jc w:val="right"/>
              <w:rPr>
                <w:color w:val="000000"/>
                <w:sz w:val="20"/>
              </w:rPr>
            </w:pPr>
            <w:r>
              <w:rPr>
                <w:color w:val="000000"/>
                <w:sz w:val="20"/>
              </w:rPr>
              <w:t>(3,088</w:t>
            </w:r>
          </w:p>
        </w:tc>
        <w:tc>
          <w:tcPr>
            <w:tcW w:w="50" w:type="pct"/>
            <w:shd w:val="clear" w:color="auto" w:fill="FFFFFF"/>
            <w:noWrap/>
            <w:tcMar>
              <w:top w:w="15" w:type="dxa"/>
              <w:left w:w="0" w:type="dxa"/>
              <w:bottom w:w="0" w:type="dxa"/>
              <w:right w:w="15" w:type="dxa"/>
            </w:tcMar>
            <w:vAlign w:val="bottom"/>
          </w:tcPr>
          <w:p w14:paraId="079100AC" w14:textId="77777777" w:rsidR="009A5AEC" w:rsidRDefault="00000000">
            <w:pPr>
              <w:pStyle w:val="Normal0"/>
              <w:rPr>
                <w:color w:val="000000"/>
                <w:sz w:val="20"/>
              </w:rPr>
            </w:pPr>
            <w:r>
              <w:rPr>
                <w:color w:val="000000"/>
                <w:sz w:val="20"/>
              </w:rPr>
              <w:t>)</w:t>
            </w:r>
          </w:p>
        </w:tc>
        <w:tc>
          <w:tcPr>
            <w:tcW w:w="84" w:type="pct"/>
            <w:shd w:val="clear" w:color="auto" w:fill="FFFFFF"/>
            <w:tcMar>
              <w:top w:w="15" w:type="dxa"/>
              <w:left w:w="0" w:type="dxa"/>
              <w:bottom w:w="0" w:type="dxa"/>
              <w:right w:w="15" w:type="dxa"/>
            </w:tcMar>
            <w:vAlign w:val="bottom"/>
          </w:tcPr>
          <w:p w14:paraId="60D36A00"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29967695" w14:textId="77777777" w:rsidR="009A5AEC" w:rsidRDefault="00000000">
            <w:pPr>
              <w:pStyle w:val="Normal0"/>
              <w:rPr>
                <w:color w:val="000000"/>
                <w:sz w:val="20"/>
              </w:rPr>
            </w:pPr>
            <w:r>
              <w:rPr>
                <w:color w:val="000000"/>
                <w:sz w:val="20"/>
              </w:rPr>
              <w:t>$</w:t>
            </w:r>
          </w:p>
        </w:tc>
        <w:tc>
          <w:tcPr>
            <w:tcW w:w="794"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0C4FEE99" w14:textId="77777777" w:rsidR="009A5AEC" w:rsidRDefault="00000000">
            <w:pPr>
              <w:pStyle w:val="Normal0"/>
              <w:jc w:val="right"/>
              <w:rPr>
                <w:color w:val="000000"/>
                <w:sz w:val="20"/>
              </w:rPr>
            </w:pPr>
            <w:r>
              <w:rPr>
                <w:color w:val="000000"/>
                <w:sz w:val="20"/>
              </w:rPr>
              <w:t>31,789</w:t>
            </w:r>
          </w:p>
        </w:tc>
        <w:tc>
          <w:tcPr>
            <w:tcW w:w="50" w:type="pct"/>
            <w:shd w:val="clear" w:color="auto" w:fill="FFFFFF"/>
            <w:noWrap/>
            <w:tcMar>
              <w:top w:w="15" w:type="dxa"/>
              <w:left w:w="0" w:type="dxa"/>
              <w:bottom w:w="0" w:type="dxa"/>
              <w:right w:w="15" w:type="dxa"/>
            </w:tcMar>
            <w:vAlign w:val="bottom"/>
          </w:tcPr>
          <w:p w14:paraId="71812D75" w14:textId="77777777" w:rsidR="009A5AEC" w:rsidRDefault="00000000">
            <w:pPr>
              <w:pStyle w:val="Normal0"/>
              <w:rPr>
                <w:color w:val="000000"/>
                <w:sz w:val="20"/>
              </w:rPr>
            </w:pPr>
            <w:r>
              <w:rPr>
                <w:color w:val="000000"/>
                <w:sz w:val="20"/>
              </w:rPr>
              <w:t xml:space="preserve"> </w:t>
            </w:r>
          </w:p>
        </w:tc>
      </w:tr>
      <w:tr w:rsidR="003116D1" w14:paraId="028F9C04" w14:textId="77777777">
        <w:trPr>
          <w:cantSplit/>
          <w:jc w:val="center"/>
        </w:trPr>
        <w:tc>
          <w:tcPr>
            <w:tcW w:w="3042" w:type="pct"/>
            <w:shd w:val="clear" w:color="auto" w:fill="FFFFFF"/>
            <w:tcMar>
              <w:top w:w="15" w:type="dxa"/>
              <w:left w:w="0" w:type="dxa"/>
              <w:bottom w:w="0" w:type="dxa"/>
              <w:right w:w="15" w:type="dxa"/>
            </w:tcMar>
            <w:vAlign w:val="bottom"/>
          </w:tcPr>
          <w:p w14:paraId="0DA4680A" w14:textId="77777777" w:rsidR="009A5AEC" w:rsidRDefault="00000000">
            <w:pPr>
              <w:pStyle w:val="Normal0"/>
              <w:keepNext/>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7737F363"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3881202A" w14:textId="77777777" w:rsidR="009A5AEC" w:rsidRDefault="00000000">
            <w:pPr>
              <w:pStyle w:val="Normal0"/>
              <w:rPr>
                <w:color w:val="000000"/>
                <w:sz w:val="20"/>
              </w:rPr>
            </w:pPr>
            <w:r>
              <w:rPr>
                <w:color w:val="000000"/>
                <w:sz w:val="20"/>
              </w:rPr>
              <w:t xml:space="preserve"> </w:t>
            </w:r>
          </w:p>
        </w:tc>
        <w:tc>
          <w:tcPr>
            <w:tcW w:w="794" w:type="pct"/>
            <w:tcBorders>
              <w:top w:val="double" w:sz="6" w:space="0" w:color="000000"/>
            </w:tcBorders>
            <w:shd w:val="clear" w:color="auto" w:fill="FFFFFF"/>
            <w:noWrap/>
            <w:tcMar>
              <w:top w:w="15" w:type="dxa"/>
              <w:left w:w="0" w:type="dxa"/>
              <w:bottom w:w="0" w:type="dxa"/>
              <w:right w:w="15" w:type="dxa"/>
            </w:tcMar>
            <w:vAlign w:val="bottom"/>
          </w:tcPr>
          <w:p w14:paraId="4CBBC732"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5AD59E22"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50205771"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03C762C5" w14:textId="77777777" w:rsidR="009A5AEC" w:rsidRDefault="00000000">
            <w:pPr>
              <w:pStyle w:val="Normal0"/>
              <w:rPr>
                <w:color w:val="000000"/>
                <w:sz w:val="20"/>
              </w:rPr>
            </w:pPr>
            <w:r>
              <w:rPr>
                <w:color w:val="000000"/>
                <w:sz w:val="20"/>
              </w:rPr>
              <w:t xml:space="preserve"> </w:t>
            </w:r>
          </w:p>
        </w:tc>
        <w:tc>
          <w:tcPr>
            <w:tcW w:w="794" w:type="pct"/>
            <w:tcBorders>
              <w:top w:val="double" w:sz="6" w:space="0" w:color="000000"/>
            </w:tcBorders>
            <w:shd w:val="clear" w:color="auto" w:fill="FFFFFF"/>
            <w:noWrap/>
            <w:tcMar>
              <w:top w:w="15" w:type="dxa"/>
              <w:left w:w="0" w:type="dxa"/>
              <w:bottom w:w="0" w:type="dxa"/>
              <w:right w:w="15" w:type="dxa"/>
            </w:tcMar>
            <w:vAlign w:val="bottom"/>
          </w:tcPr>
          <w:p w14:paraId="1324D571"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071D1A89" w14:textId="77777777" w:rsidR="009A5AEC" w:rsidRDefault="00000000">
            <w:pPr>
              <w:pStyle w:val="Normal0"/>
              <w:rPr>
                <w:color w:val="000000"/>
                <w:sz w:val="20"/>
              </w:rPr>
            </w:pPr>
            <w:r>
              <w:rPr>
                <w:color w:val="000000"/>
                <w:sz w:val="20"/>
              </w:rPr>
              <w:t xml:space="preserve"> </w:t>
            </w:r>
          </w:p>
        </w:tc>
      </w:tr>
      <w:tr w:rsidR="003116D1" w14:paraId="7D168EA7" w14:textId="77777777">
        <w:trPr>
          <w:cantSplit/>
          <w:jc w:val="center"/>
        </w:trPr>
        <w:tc>
          <w:tcPr>
            <w:tcW w:w="3042" w:type="pct"/>
            <w:shd w:val="clear" w:color="auto" w:fill="FFFFFF"/>
            <w:tcMar>
              <w:top w:w="15" w:type="dxa"/>
              <w:left w:w="0" w:type="dxa"/>
              <w:bottom w:w="0" w:type="dxa"/>
              <w:right w:w="15" w:type="dxa"/>
            </w:tcMar>
            <w:vAlign w:val="bottom"/>
          </w:tcPr>
          <w:p w14:paraId="5A60F94D" w14:textId="77777777" w:rsidR="009A5AEC" w:rsidRDefault="00000000">
            <w:pPr>
              <w:pStyle w:val="Normal0"/>
              <w:keepNext/>
              <w:rPr>
                <w:color w:val="000000"/>
                <w:sz w:val="20"/>
              </w:rPr>
            </w:pPr>
            <w:r>
              <w:rPr>
                <w:color w:val="000000"/>
                <w:sz w:val="20"/>
              </w:rPr>
              <w:t xml:space="preserve"> Weighted average number of shares used in basic EPS calculation</w:t>
            </w:r>
          </w:p>
        </w:tc>
        <w:tc>
          <w:tcPr>
            <w:tcW w:w="84" w:type="pct"/>
            <w:shd w:val="clear" w:color="auto" w:fill="FFFFFF"/>
            <w:tcMar>
              <w:top w:w="15" w:type="dxa"/>
              <w:left w:w="0" w:type="dxa"/>
              <w:bottom w:w="0" w:type="dxa"/>
              <w:right w:w="15" w:type="dxa"/>
            </w:tcMar>
            <w:vAlign w:val="bottom"/>
          </w:tcPr>
          <w:p w14:paraId="5548F37D" w14:textId="77777777" w:rsidR="009A5AEC" w:rsidRDefault="00000000">
            <w:pPr>
              <w:pStyle w:val="Normal0"/>
              <w:rPr>
                <w:color w:val="000000"/>
                <w:sz w:val="20"/>
              </w:rPr>
            </w:pPr>
            <w:r>
              <w:rPr>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6AB1DE32" w14:textId="77777777" w:rsidR="009A5AEC" w:rsidRDefault="00000000">
            <w:pPr>
              <w:pStyle w:val="Normal0"/>
              <w:rPr>
                <w:color w:val="000000"/>
                <w:sz w:val="20"/>
              </w:rPr>
            </w:pPr>
            <w:r>
              <w:rPr>
                <w:color w:val="000000"/>
                <w:sz w:val="20"/>
              </w:rPr>
              <w:t xml:space="preserve"> </w:t>
            </w:r>
          </w:p>
        </w:tc>
        <w:tc>
          <w:tcPr>
            <w:tcW w:w="794" w:type="pct"/>
            <w:tcBorders>
              <w:bottom w:val="double" w:sz="6" w:space="0" w:color="000000"/>
            </w:tcBorders>
            <w:shd w:val="clear" w:color="auto" w:fill="FFFFFF"/>
            <w:noWrap/>
            <w:tcMar>
              <w:top w:w="15" w:type="dxa"/>
              <w:left w:w="0" w:type="dxa"/>
              <w:bottom w:w="0" w:type="dxa"/>
              <w:right w:w="15" w:type="dxa"/>
            </w:tcMar>
            <w:vAlign w:val="bottom"/>
          </w:tcPr>
          <w:p w14:paraId="44A6118F" w14:textId="77777777" w:rsidR="009A5AEC" w:rsidRDefault="00000000">
            <w:pPr>
              <w:pStyle w:val="Normal0"/>
              <w:jc w:val="right"/>
              <w:rPr>
                <w:color w:val="000000"/>
                <w:sz w:val="20"/>
              </w:rPr>
            </w:pPr>
            <w:r>
              <w:rPr>
                <w:color w:val="000000"/>
                <w:sz w:val="20"/>
              </w:rPr>
              <w:t>5,334,774</w:t>
            </w:r>
          </w:p>
        </w:tc>
        <w:tc>
          <w:tcPr>
            <w:tcW w:w="50" w:type="pct"/>
            <w:shd w:val="clear" w:color="auto" w:fill="FFFFFF"/>
            <w:noWrap/>
            <w:tcMar>
              <w:top w:w="15" w:type="dxa"/>
              <w:left w:w="0" w:type="dxa"/>
              <w:bottom w:w="0" w:type="dxa"/>
              <w:right w:w="15" w:type="dxa"/>
            </w:tcMar>
            <w:vAlign w:val="bottom"/>
          </w:tcPr>
          <w:p w14:paraId="31FC7C48"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3E38AE1F" w14:textId="77777777" w:rsidR="009A5AEC" w:rsidRDefault="00000000">
            <w:pPr>
              <w:pStyle w:val="Normal0"/>
              <w:rPr>
                <w:color w:val="000000"/>
                <w:sz w:val="20"/>
              </w:rPr>
            </w:pPr>
            <w:r>
              <w:rPr>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1F7CBE8B" w14:textId="77777777" w:rsidR="009A5AEC" w:rsidRDefault="00000000">
            <w:pPr>
              <w:pStyle w:val="Normal0"/>
              <w:rPr>
                <w:color w:val="000000"/>
                <w:sz w:val="20"/>
              </w:rPr>
            </w:pPr>
            <w:r>
              <w:rPr>
                <w:color w:val="000000"/>
                <w:sz w:val="20"/>
              </w:rPr>
              <w:t xml:space="preserve"> </w:t>
            </w:r>
          </w:p>
        </w:tc>
        <w:tc>
          <w:tcPr>
            <w:tcW w:w="794" w:type="pct"/>
            <w:tcBorders>
              <w:bottom w:val="double" w:sz="6" w:space="0" w:color="000000"/>
            </w:tcBorders>
            <w:shd w:val="clear" w:color="auto" w:fill="FFFFFF"/>
            <w:noWrap/>
            <w:tcMar>
              <w:top w:w="15" w:type="dxa"/>
              <w:left w:w="0" w:type="dxa"/>
              <w:bottom w:w="0" w:type="dxa"/>
              <w:right w:w="15" w:type="dxa"/>
            </w:tcMar>
            <w:vAlign w:val="bottom"/>
          </w:tcPr>
          <w:p w14:paraId="0FA6A7D3" w14:textId="77777777" w:rsidR="009A5AEC" w:rsidRDefault="00000000">
            <w:pPr>
              <w:pStyle w:val="Normal0"/>
              <w:jc w:val="right"/>
              <w:rPr>
                <w:color w:val="000000"/>
                <w:sz w:val="20"/>
              </w:rPr>
            </w:pPr>
            <w:r>
              <w:rPr>
                <w:color w:val="000000"/>
                <w:sz w:val="20"/>
              </w:rPr>
              <w:t>5,273,263</w:t>
            </w:r>
          </w:p>
        </w:tc>
        <w:tc>
          <w:tcPr>
            <w:tcW w:w="50" w:type="pct"/>
            <w:shd w:val="clear" w:color="auto" w:fill="FFFFFF"/>
            <w:noWrap/>
            <w:tcMar>
              <w:top w:w="15" w:type="dxa"/>
              <w:left w:w="0" w:type="dxa"/>
              <w:bottom w:w="0" w:type="dxa"/>
              <w:right w:w="15" w:type="dxa"/>
            </w:tcMar>
            <w:vAlign w:val="bottom"/>
          </w:tcPr>
          <w:p w14:paraId="07810E84" w14:textId="77777777" w:rsidR="009A5AEC" w:rsidRDefault="00000000">
            <w:pPr>
              <w:pStyle w:val="Normal0"/>
              <w:rPr>
                <w:color w:val="000000"/>
                <w:sz w:val="20"/>
              </w:rPr>
            </w:pPr>
            <w:r>
              <w:rPr>
                <w:color w:val="000000"/>
                <w:sz w:val="20"/>
              </w:rPr>
              <w:t xml:space="preserve"> </w:t>
            </w:r>
          </w:p>
        </w:tc>
      </w:tr>
      <w:tr w:rsidR="003116D1" w14:paraId="3D1BD4AF" w14:textId="77777777">
        <w:trPr>
          <w:cantSplit/>
          <w:jc w:val="center"/>
        </w:trPr>
        <w:tc>
          <w:tcPr>
            <w:tcW w:w="3042" w:type="pct"/>
            <w:shd w:val="clear" w:color="auto" w:fill="FFFFFF"/>
            <w:tcMar>
              <w:top w:w="15" w:type="dxa"/>
              <w:left w:w="0" w:type="dxa"/>
              <w:bottom w:w="0" w:type="dxa"/>
              <w:right w:w="15" w:type="dxa"/>
            </w:tcMar>
            <w:vAlign w:val="bottom"/>
          </w:tcPr>
          <w:p w14:paraId="656B9F6A" w14:textId="77777777" w:rsidR="009A5AEC" w:rsidRDefault="00000000">
            <w:pPr>
              <w:pStyle w:val="Normal0"/>
              <w:keepNext/>
              <w:rPr>
                <w:color w:val="000000"/>
                <w:sz w:val="20"/>
              </w:rPr>
            </w:pPr>
            <w:r>
              <w:rPr>
                <w:color w:val="000000"/>
                <w:sz w:val="20"/>
              </w:rPr>
              <w:t xml:space="preserve"> BASIC NET (LOSS) INCOME PER COMMON SHARE</w:t>
            </w:r>
          </w:p>
        </w:tc>
        <w:tc>
          <w:tcPr>
            <w:tcW w:w="84" w:type="pct"/>
            <w:shd w:val="clear" w:color="auto" w:fill="FFFFFF"/>
            <w:tcMar>
              <w:top w:w="15" w:type="dxa"/>
              <w:left w:w="0" w:type="dxa"/>
              <w:bottom w:w="0" w:type="dxa"/>
              <w:right w:w="15" w:type="dxa"/>
            </w:tcMar>
            <w:vAlign w:val="bottom"/>
          </w:tcPr>
          <w:p w14:paraId="6CCFA45C"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74E14B1D" w14:textId="77777777" w:rsidR="009A5AEC" w:rsidRDefault="00000000">
            <w:pPr>
              <w:pStyle w:val="Normal0"/>
              <w:rPr>
                <w:color w:val="000000"/>
                <w:sz w:val="20"/>
              </w:rPr>
            </w:pPr>
            <w:r>
              <w:rPr>
                <w:color w:val="000000"/>
                <w:sz w:val="20"/>
              </w:rPr>
              <w:t>$</w:t>
            </w:r>
          </w:p>
        </w:tc>
        <w:tc>
          <w:tcPr>
            <w:tcW w:w="794"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020B94BF" w14:textId="77777777" w:rsidR="009A5AEC" w:rsidRDefault="00000000">
            <w:pPr>
              <w:pStyle w:val="Normal0"/>
              <w:jc w:val="right"/>
              <w:rPr>
                <w:color w:val="000000"/>
                <w:sz w:val="20"/>
              </w:rPr>
            </w:pPr>
            <w:r>
              <w:rPr>
                <w:color w:val="000000"/>
                <w:sz w:val="20"/>
              </w:rPr>
              <w:t>(0.58</w:t>
            </w:r>
          </w:p>
        </w:tc>
        <w:tc>
          <w:tcPr>
            <w:tcW w:w="50" w:type="pct"/>
            <w:shd w:val="clear" w:color="auto" w:fill="FFFFFF"/>
            <w:noWrap/>
            <w:tcMar>
              <w:top w:w="15" w:type="dxa"/>
              <w:left w:w="0" w:type="dxa"/>
              <w:bottom w:w="0" w:type="dxa"/>
              <w:right w:w="15" w:type="dxa"/>
            </w:tcMar>
            <w:vAlign w:val="bottom"/>
          </w:tcPr>
          <w:p w14:paraId="11560495" w14:textId="77777777" w:rsidR="009A5AEC" w:rsidRDefault="00000000">
            <w:pPr>
              <w:pStyle w:val="Normal0"/>
              <w:rPr>
                <w:color w:val="000000"/>
                <w:sz w:val="20"/>
              </w:rPr>
            </w:pPr>
            <w:r>
              <w:rPr>
                <w:color w:val="000000"/>
                <w:sz w:val="20"/>
              </w:rPr>
              <w:t>)</w:t>
            </w:r>
          </w:p>
        </w:tc>
        <w:tc>
          <w:tcPr>
            <w:tcW w:w="84" w:type="pct"/>
            <w:shd w:val="clear" w:color="auto" w:fill="FFFFFF"/>
            <w:tcMar>
              <w:top w:w="15" w:type="dxa"/>
              <w:left w:w="0" w:type="dxa"/>
              <w:bottom w:w="0" w:type="dxa"/>
              <w:right w:w="15" w:type="dxa"/>
            </w:tcMar>
            <w:vAlign w:val="bottom"/>
          </w:tcPr>
          <w:p w14:paraId="2BFA8D84"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4613D313" w14:textId="77777777" w:rsidR="009A5AEC" w:rsidRDefault="00000000">
            <w:pPr>
              <w:pStyle w:val="Normal0"/>
              <w:rPr>
                <w:color w:val="000000"/>
                <w:sz w:val="20"/>
              </w:rPr>
            </w:pPr>
            <w:r>
              <w:rPr>
                <w:color w:val="000000"/>
                <w:sz w:val="20"/>
              </w:rPr>
              <w:t>$</w:t>
            </w:r>
          </w:p>
        </w:tc>
        <w:tc>
          <w:tcPr>
            <w:tcW w:w="794"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01955CBE" w14:textId="77777777" w:rsidR="009A5AEC" w:rsidRDefault="00000000">
            <w:pPr>
              <w:pStyle w:val="Normal0"/>
              <w:jc w:val="right"/>
              <w:rPr>
                <w:color w:val="000000"/>
                <w:sz w:val="20"/>
              </w:rPr>
            </w:pPr>
            <w:r>
              <w:rPr>
                <w:color w:val="000000"/>
                <w:sz w:val="20"/>
              </w:rPr>
              <w:t>6.03</w:t>
            </w:r>
          </w:p>
        </w:tc>
        <w:tc>
          <w:tcPr>
            <w:tcW w:w="50" w:type="pct"/>
            <w:shd w:val="clear" w:color="auto" w:fill="FFFFFF"/>
            <w:noWrap/>
            <w:tcMar>
              <w:top w:w="15" w:type="dxa"/>
              <w:left w:w="0" w:type="dxa"/>
              <w:bottom w:w="0" w:type="dxa"/>
              <w:right w:w="15" w:type="dxa"/>
            </w:tcMar>
            <w:vAlign w:val="bottom"/>
          </w:tcPr>
          <w:p w14:paraId="5A139A85" w14:textId="77777777" w:rsidR="009A5AEC" w:rsidRDefault="00000000">
            <w:pPr>
              <w:pStyle w:val="Normal0"/>
              <w:rPr>
                <w:color w:val="000000"/>
                <w:sz w:val="20"/>
              </w:rPr>
            </w:pPr>
            <w:r>
              <w:rPr>
                <w:color w:val="000000"/>
                <w:sz w:val="20"/>
              </w:rPr>
              <w:t xml:space="preserve"> </w:t>
            </w:r>
          </w:p>
        </w:tc>
      </w:tr>
      <w:tr w:rsidR="003116D1" w14:paraId="454FE937" w14:textId="77777777">
        <w:trPr>
          <w:cantSplit/>
          <w:jc w:val="center"/>
        </w:trPr>
        <w:tc>
          <w:tcPr>
            <w:tcW w:w="3042" w:type="pct"/>
            <w:shd w:val="clear" w:color="auto" w:fill="FFFFFF"/>
            <w:tcMar>
              <w:top w:w="15" w:type="dxa"/>
              <w:left w:w="0" w:type="dxa"/>
              <w:bottom w:w="0" w:type="dxa"/>
              <w:right w:w="15" w:type="dxa"/>
            </w:tcMar>
            <w:vAlign w:val="bottom"/>
          </w:tcPr>
          <w:p w14:paraId="6FBAFFE2" w14:textId="77777777" w:rsidR="009A5AEC" w:rsidRDefault="00000000">
            <w:pPr>
              <w:pStyle w:val="Normal0"/>
              <w:keepNext/>
              <w:rPr>
                <w:color w:val="000000"/>
                <w:sz w:val="20"/>
              </w:rPr>
            </w:pPr>
            <w:r>
              <w:rPr>
                <w:color w:val="000000"/>
                <w:sz w:val="20"/>
              </w:rPr>
              <w:t xml:space="preserve"> Weighted average number of shares used in diluted EPS calculation</w:t>
            </w:r>
          </w:p>
        </w:tc>
        <w:tc>
          <w:tcPr>
            <w:tcW w:w="84" w:type="pct"/>
            <w:shd w:val="clear" w:color="auto" w:fill="FFFFFF"/>
            <w:tcMar>
              <w:top w:w="15" w:type="dxa"/>
              <w:left w:w="0" w:type="dxa"/>
              <w:bottom w:w="0" w:type="dxa"/>
              <w:right w:w="15" w:type="dxa"/>
            </w:tcMar>
            <w:vAlign w:val="bottom"/>
          </w:tcPr>
          <w:p w14:paraId="73F777C9"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77BB4F6E" w14:textId="77777777" w:rsidR="009A5AEC" w:rsidRDefault="00000000">
            <w:pPr>
              <w:pStyle w:val="Normal0"/>
              <w:rPr>
                <w:color w:val="000000"/>
                <w:sz w:val="20"/>
              </w:rPr>
            </w:pPr>
            <w:r>
              <w:rPr>
                <w:color w:val="000000"/>
                <w:sz w:val="20"/>
              </w:rPr>
              <w:t xml:space="preserve"> </w:t>
            </w:r>
          </w:p>
        </w:tc>
        <w:tc>
          <w:tcPr>
            <w:tcW w:w="794"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67E32113" w14:textId="77777777" w:rsidR="009A5AEC" w:rsidRDefault="00000000">
            <w:pPr>
              <w:pStyle w:val="Normal0"/>
              <w:jc w:val="right"/>
              <w:rPr>
                <w:color w:val="000000"/>
                <w:sz w:val="20"/>
              </w:rPr>
            </w:pPr>
            <w:r>
              <w:rPr>
                <w:color w:val="000000"/>
                <w:sz w:val="20"/>
              </w:rPr>
              <w:t>5,334,774</w:t>
            </w:r>
          </w:p>
        </w:tc>
        <w:tc>
          <w:tcPr>
            <w:tcW w:w="50" w:type="pct"/>
            <w:shd w:val="clear" w:color="auto" w:fill="FFFFFF"/>
            <w:noWrap/>
            <w:tcMar>
              <w:top w:w="15" w:type="dxa"/>
              <w:left w:w="0" w:type="dxa"/>
              <w:bottom w:w="0" w:type="dxa"/>
              <w:right w:w="15" w:type="dxa"/>
            </w:tcMar>
            <w:vAlign w:val="bottom"/>
          </w:tcPr>
          <w:p w14:paraId="0F78C852"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27A9B347"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344F7B31" w14:textId="77777777" w:rsidR="009A5AEC" w:rsidRDefault="00000000">
            <w:pPr>
              <w:pStyle w:val="Normal0"/>
              <w:rPr>
                <w:color w:val="000000"/>
                <w:sz w:val="20"/>
              </w:rPr>
            </w:pPr>
            <w:r>
              <w:rPr>
                <w:color w:val="000000"/>
                <w:sz w:val="20"/>
              </w:rPr>
              <w:t xml:space="preserve"> </w:t>
            </w:r>
          </w:p>
        </w:tc>
        <w:tc>
          <w:tcPr>
            <w:tcW w:w="794"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6835DCD1" w14:textId="77777777" w:rsidR="009A5AEC" w:rsidRDefault="00000000">
            <w:pPr>
              <w:pStyle w:val="Normal0"/>
              <w:jc w:val="right"/>
              <w:rPr>
                <w:color w:val="000000"/>
                <w:sz w:val="20"/>
              </w:rPr>
            </w:pPr>
            <w:r>
              <w:rPr>
                <w:color w:val="000000"/>
                <w:sz w:val="20"/>
              </w:rPr>
              <w:t>5,334,534</w:t>
            </w:r>
          </w:p>
        </w:tc>
        <w:tc>
          <w:tcPr>
            <w:tcW w:w="50" w:type="pct"/>
            <w:shd w:val="clear" w:color="auto" w:fill="FFFFFF"/>
            <w:noWrap/>
            <w:tcMar>
              <w:top w:w="15" w:type="dxa"/>
              <w:left w:w="0" w:type="dxa"/>
              <w:bottom w:w="0" w:type="dxa"/>
              <w:right w:w="15" w:type="dxa"/>
            </w:tcMar>
            <w:vAlign w:val="bottom"/>
          </w:tcPr>
          <w:p w14:paraId="75652BD8" w14:textId="77777777" w:rsidR="009A5AEC" w:rsidRDefault="00000000">
            <w:pPr>
              <w:pStyle w:val="Normal0"/>
              <w:rPr>
                <w:color w:val="000000"/>
                <w:sz w:val="20"/>
              </w:rPr>
            </w:pPr>
            <w:r>
              <w:rPr>
                <w:color w:val="000000"/>
                <w:sz w:val="20"/>
              </w:rPr>
              <w:t xml:space="preserve"> </w:t>
            </w:r>
          </w:p>
        </w:tc>
      </w:tr>
      <w:tr w:rsidR="003116D1" w14:paraId="445248A8" w14:textId="77777777">
        <w:trPr>
          <w:cantSplit/>
          <w:jc w:val="center"/>
        </w:trPr>
        <w:tc>
          <w:tcPr>
            <w:tcW w:w="3042" w:type="pct"/>
            <w:shd w:val="clear" w:color="auto" w:fill="FFFFFF"/>
            <w:tcMar>
              <w:top w:w="15" w:type="dxa"/>
              <w:left w:w="0" w:type="dxa"/>
              <w:bottom w:w="0" w:type="dxa"/>
              <w:right w:w="15" w:type="dxa"/>
            </w:tcMar>
            <w:vAlign w:val="bottom"/>
          </w:tcPr>
          <w:p w14:paraId="25B2C49D" w14:textId="77777777" w:rsidR="009A5AEC" w:rsidRDefault="00000000">
            <w:pPr>
              <w:pStyle w:val="Normal0"/>
              <w:rPr>
                <w:color w:val="000000"/>
                <w:sz w:val="20"/>
              </w:rPr>
            </w:pPr>
            <w:r>
              <w:rPr>
                <w:color w:val="000000"/>
                <w:sz w:val="20"/>
              </w:rPr>
              <w:t xml:space="preserve"> DILUTED NET (LOSS) INCOME PER COMMON SHARE</w:t>
            </w:r>
          </w:p>
        </w:tc>
        <w:tc>
          <w:tcPr>
            <w:tcW w:w="84" w:type="pct"/>
            <w:shd w:val="clear" w:color="auto" w:fill="FFFFFF"/>
            <w:tcMar>
              <w:top w:w="15" w:type="dxa"/>
              <w:left w:w="0" w:type="dxa"/>
              <w:bottom w:w="0" w:type="dxa"/>
              <w:right w:w="15" w:type="dxa"/>
            </w:tcMar>
            <w:vAlign w:val="bottom"/>
          </w:tcPr>
          <w:p w14:paraId="562D8883"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2BDADC63" w14:textId="77777777" w:rsidR="009A5AEC" w:rsidRDefault="00000000">
            <w:pPr>
              <w:pStyle w:val="Normal0"/>
              <w:rPr>
                <w:color w:val="000000"/>
                <w:sz w:val="20"/>
              </w:rPr>
            </w:pPr>
            <w:r>
              <w:rPr>
                <w:color w:val="000000"/>
                <w:sz w:val="20"/>
              </w:rPr>
              <w:t>$</w:t>
            </w:r>
          </w:p>
        </w:tc>
        <w:tc>
          <w:tcPr>
            <w:tcW w:w="794"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064590CB" w14:textId="77777777" w:rsidR="009A5AEC" w:rsidRDefault="00000000">
            <w:pPr>
              <w:pStyle w:val="Normal0"/>
              <w:jc w:val="right"/>
              <w:rPr>
                <w:color w:val="000000"/>
                <w:sz w:val="20"/>
              </w:rPr>
            </w:pPr>
            <w:r>
              <w:rPr>
                <w:color w:val="000000"/>
                <w:sz w:val="20"/>
              </w:rPr>
              <w:t>(0.58</w:t>
            </w:r>
          </w:p>
        </w:tc>
        <w:tc>
          <w:tcPr>
            <w:tcW w:w="50" w:type="pct"/>
            <w:shd w:val="clear" w:color="auto" w:fill="FFFFFF"/>
            <w:noWrap/>
            <w:tcMar>
              <w:top w:w="15" w:type="dxa"/>
              <w:left w:w="0" w:type="dxa"/>
              <w:bottom w:w="0" w:type="dxa"/>
              <w:right w:w="15" w:type="dxa"/>
            </w:tcMar>
            <w:vAlign w:val="bottom"/>
          </w:tcPr>
          <w:p w14:paraId="35D07285" w14:textId="77777777" w:rsidR="009A5AEC" w:rsidRDefault="00000000">
            <w:pPr>
              <w:pStyle w:val="Normal0"/>
              <w:rPr>
                <w:color w:val="000000"/>
                <w:sz w:val="20"/>
              </w:rPr>
            </w:pPr>
            <w:r>
              <w:rPr>
                <w:color w:val="000000"/>
                <w:sz w:val="20"/>
              </w:rPr>
              <w:t>)</w:t>
            </w:r>
          </w:p>
        </w:tc>
        <w:tc>
          <w:tcPr>
            <w:tcW w:w="84" w:type="pct"/>
            <w:shd w:val="clear" w:color="auto" w:fill="FFFFFF"/>
            <w:tcMar>
              <w:top w:w="15" w:type="dxa"/>
              <w:left w:w="0" w:type="dxa"/>
              <w:bottom w:w="0" w:type="dxa"/>
              <w:right w:w="15" w:type="dxa"/>
            </w:tcMar>
            <w:vAlign w:val="bottom"/>
          </w:tcPr>
          <w:p w14:paraId="18C629B1"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053A28D2" w14:textId="77777777" w:rsidR="009A5AEC" w:rsidRDefault="00000000">
            <w:pPr>
              <w:pStyle w:val="Normal0"/>
              <w:rPr>
                <w:color w:val="000000"/>
                <w:sz w:val="20"/>
              </w:rPr>
            </w:pPr>
            <w:r>
              <w:rPr>
                <w:color w:val="000000"/>
                <w:sz w:val="20"/>
              </w:rPr>
              <w:t>$</w:t>
            </w:r>
          </w:p>
        </w:tc>
        <w:tc>
          <w:tcPr>
            <w:tcW w:w="794"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233CB8A3" w14:textId="77777777" w:rsidR="009A5AEC" w:rsidRDefault="00000000">
            <w:pPr>
              <w:pStyle w:val="Normal0"/>
              <w:jc w:val="right"/>
              <w:rPr>
                <w:color w:val="000000"/>
                <w:sz w:val="20"/>
              </w:rPr>
            </w:pPr>
            <w:r>
              <w:rPr>
                <w:color w:val="000000"/>
                <w:sz w:val="20"/>
              </w:rPr>
              <w:t>5.96</w:t>
            </w:r>
          </w:p>
        </w:tc>
        <w:tc>
          <w:tcPr>
            <w:tcW w:w="50" w:type="pct"/>
            <w:shd w:val="clear" w:color="auto" w:fill="FFFFFF"/>
            <w:noWrap/>
            <w:tcMar>
              <w:top w:w="15" w:type="dxa"/>
              <w:left w:w="0" w:type="dxa"/>
              <w:bottom w:w="0" w:type="dxa"/>
              <w:right w:w="15" w:type="dxa"/>
            </w:tcMar>
            <w:vAlign w:val="bottom"/>
          </w:tcPr>
          <w:p w14:paraId="6B840F77" w14:textId="77777777" w:rsidR="009A5AEC" w:rsidRDefault="00000000">
            <w:pPr>
              <w:pStyle w:val="Normal0"/>
              <w:rPr>
                <w:color w:val="000000"/>
                <w:sz w:val="20"/>
              </w:rPr>
            </w:pPr>
            <w:r>
              <w:rPr>
                <w:color w:val="000000"/>
                <w:sz w:val="2"/>
              </w:rPr>
              <w:t xml:space="preserve"> </w:t>
            </w:r>
          </w:p>
        </w:tc>
      </w:tr>
    </w:tbl>
    <w:p w14:paraId="23BA3BC3" w14:textId="77777777" w:rsidR="000A74B1" w:rsidRDefault="000A74B1" w:rsidP="005F0D08">
      <w:pPr>
        <w:pStyle w:val="BodyText0"/>
        <w:autoSpaceDE w:val="0"/>
        <w:autoSpaceDN w:val="0"/>
        <w:adjustRightInd w:val="0"/>
        <w:spacing w:after="0"/>
        <w:jc w:val="center"/>
        <w:rPr>
          <w:b/>
          <w:sz w:val="20"/>
          <w:szCs w:val="20"/>
        </w:rPr>
      </w:pPr>
    </w:p>
    <w:p w14:paraId="3A935C71" w14:textId="77777777" w:rsidR="000A74B1" w:rsidRDefault="00000000" w:rsidP="005F0D08">
      <w:pPr>
        <w:pStyle w:val="BodyText0"/>
        <w:autoSpaceDE w:val="0"/>
        <w:autoSpaceDN w:val="0"/>
        <w:adjustRightInd w:val="0"/>
        <w:spacing w:after="0"/>
        <w:jc w:val="center"/>
        <w:rPr>
          <w:b/>
          <w:sz w:val="20"/>
          <w:szCs w:val="20"/>
        </w:rPr>
      </w:pPr>
      <w:r>
        <w:rPr>
          <w:b/>
          <w:sz w:val="20"/>
          <w:szCs w:val="20"/>
        </w:rPr>
        <w:br w:type="page"/>
      </w:r>
    </w:p>
    <w:p w14:paraId="424E2228" w14:textId="77777777" w:rsidR="000A74B1" w:rsidRDefault="000A74B1" w:rsidP="005F0D08">
      <w:pPr>
        <w:pStyle w:val="BodyText0"/>
        <w:autoSpaceDE w:val="0"/>
        <w:autoSpaceDN w:val="0"/>
        <w:adjustRightInd w:val="0"/>
        <w:spacing w:after="0"/>
        <w:jc w:val="center"/>
        <w:rPr>
          <w:b/>
          <w:sz w:val="20"/>
          <w:szCs w:val="20"/>
        </w:rPr>
      </w:pPr>
    </w:p>
    <w:p w14:paraId="4A8140D5" w14:textId="77777777" w:rsidR="005F0D08" w:rsidRPr="00DA0DE2" w:rsidRDefault="00000000" w:rsidP="005F0D08">
      <w:pPr>
        <w:pStyle w:val="BodyText0"/>
        <w:autoSpaceDE w:val="0"/>
        <w:autoSpaceDN w:val="0"/>
        <w:adjustRightInd w:val="0"/>
        <w:spacing w:after="0"/>
        <w:jc w:val="center"/>
        <w:rPr>
          <w:b/>
          <w:sz w:val="20"/>
          <w:szCs w:val="20"/>
        </w:rPr>
      </w:pPr>
      <w:r w:rsidRPr="00DA0DE2">
        <w:rPr>
          <w:b/>
          <w:sz w:val="20"/>
          <w:szCs w:val="20"/>
        </w:rPr>
        <w:t>THE LGL GROUP, INC.</w:t>
      </w:r>
    </w:p>
    <w:p w14:paraId="5BA0FF39" w14:textId="77777777" w:rsidR="00B14FEA" w:rsidRPr="00DA0DE2" w:rsidRDefault="00000000" w:rsidP="005F0D08">
      <w:pPr>
        <w:pStyle w:val="BodyText0"/>
        <w:autoSpaceDE w:val="0"/>
        <w:autoSpaceDN w:val="0"/>
        <w:adjustRightInd w:val="0"/>
        <w:spacing w:after="0"/>
        <w:jc w:val="center"/>
        <w:rPr>
          <w:b/>
          <w:sz w:val="20"/>
          <w:szCs w:val="20"/>
        </w:rPr>
      </w:pPr>
      <w:r w:rsidRPr="00DA0DE2">
        <w:rPr>
          <w:b/>
          <w:sz w:val="20"/>
          <w:szCs w:val="20"/>
        </w:rPr>
        <w:t xml:space="preserve">Condensed </w:t>
      </w:r>
      <w:r w:rsidR="005F0D08" w:rsidRPr="00DA0DE2">
        <w:rPr>
          <w:b/>
          <w:sz w:val="20"/>
          <w:szCs w:val="20"/>
        </w:rPr>
        <w:t>Consolidated Balance Sheets</w:t>
      </w:r>
    </w:p>
    <w:p w14:paraId="4A6C115D" w14:textId="77777777" w:rsidR="005F0D08" w:rsidRPr="00DA0DE2" w:rsidRDefault="00000000" w:rsidP="005F0D08">
      <w:pPr>
        <w:pStyle w:val="BodyText0"/>
        <w:autoSpaceDE w:val="0"/>
        <w:autoSpaceDN w:val="0"/>
        <w:adjustRightInd w:val="0"/>
        <w:spacing w:after="0"/>
        <w:jc w:val="center"/>
        <w:rPr>
          <w:b/>
          <w:sz w:val="20"/>
          <w:szCs w:val="20"/>
        </w:rPr>
      </w:pPr>
      <w:r w:rsidRPr="00DA0DE2">
        <w:rPr>
          <w:b/>
          <w:sz w:val="20"/>
          <w:szCs w:val="20"/>
        </w:rPr>
        <w:t xml:space="preserve">(Unaudited) </w:t>
      </w:r>
    </w:p>
    <w:p w14:paraId="2EE2E697" w14:textId="77777777" w:rsidR="005F0D08" w:rsidRPr="00DA0DE2" w:rsidRDefault="005F0D08" w:rsidP="005F0D08">
      <w:pPr>
        <w:pStyle w:val="BodyText0"/>
        <w:autoSpaceDE w:val="0"/>
        <w:autoSpaceDN w:val="0"/>
        <w:adjustRightInd w:val="0"/>
        <w:spacing w:after="0"/>
        <w:jc w:val="center"/>
        <w:rPr>
          <w:sz w:val="20"/>
          <w:szCs w:val="20"/>
        </w:rPr>
      </w:pPr>
    </w:p>
    <w:p w14:paraId="51B50579" w14:textId="77777777" w:rsidR="005F0D08" w:rsidRPr="00DA0DE2" w:rsidRDefault="00000000" w:rsidP="005F0D08">
      <w:pPr>
        <w:pStyle w:val="BodyText0"/>
        <w:autoSpaceDE w:val="0"/>
        <w:autoSpaceDN w:val="0"/>
        <w:adjustRightInd w:val="0"/>
        <w:spacing w:after="0"/>
        <w:jc w:val="center"/>
        <w:rPr>
          <w:sz w:val="20"/>
          <w:szCs w:val="20"/>
        </w:rPr>
      </w:pPr>
      <w:r w:rsidRPr="00DA0DE2">
        <w:rPr>
          <w:sz w:val="20"/>
          <w:szCs w:val="20"/>
        </w:rPr>
        <w:t>(Dollars in Thousands)</w:t>
      </w:r>
    </w:p>
    <w:p w14:paraId="289FCBE6" w14:textId="77777777" w:rsidR="00EF1256" w:rsidRDefault="00EF1256" w:rsidP="005F0D08">
      <w:pPr>
        <w:pStyle w:val="BodyText0"/>
        <w:autoSpaceDE w:val="0"/>
        <w:autoSpaceDN w:val="0"/>
        <w:adjustRightInd w:val="0"/>
        <w:spacing w:after="0"/>
        <w:jc w:val="center"/>
        <w:rPr>
          <w:sz w:val="22"/>
          <w:szCs w:val="22"/>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0" w:type="dxa"/>
          <w:right w:w="15" w:type="dxa"/>
        </w:tblCellMar>
        <w:tblLook w:val="04A0" w:firstRow="1" w:lastRow="0" w:firstColumn="1" w:lastColumn="0" w:noHBand="0" w:noVBand="1"/>
      </w:tblPr>
      <w:tblGrid>
        <w:gridCol w:w="6360"/>
        <w:gridCol w:w="158"/>
        <w:gridCol w:w="116"/>
        <w:gridCol w:w="1143"/>
        <w:gridCol w:w="82"/>
        <w:gridCol w:w="159"/>
        <w:gridCol w:w="116"/>
        <w:gridCol w:w="1138"/>
        <w:gridCol w:w="88"/>
      </w:tblGrid>
      <w:tr w:rsidR="003116D1" w14:paraId="11EACB05" w14:textId="77777777">
        <w:trPr>
          <w:cantSplit/>
          <w:jc w:val="center"/>
        </w:trPr>
        <w:tc>
          <w:tcPr>
            <w:tcW w:w="3400" w:type="pct"/>
            <w:shd w:val="clear" w:color="auto" w:fill="FFFFFF"/>
            <w:tcMar>
              <w:top w:w="15" w:type="dxa"/>
              <w:left w:w="0" w:type="dxa"/>
              <w:bottom w:w="0" w:type="dxa"/>
              <w:right w:w="15" w:type="dxa"/>
            </w:tcMar>
            <w:vAlign w:val="bottom"/>
          </w:tcPr>
          <w:p w14:paraId="155E0156" w14:textId="77777777" w:rsidR="009A5AEC" w:rsidRDefault="00000000">
            <w:pPr>
              <w:pStyle w:val="Normal0"/>
              <w:keepNext/>
              <w:rPr>
                <w:color w:val="000000"/>
                <w:sz w:val="20"/>
              </w:rPr>
            </w:pPr>
            <w:r>
              <w:t xml:space="preserve"> </w:t>
            </w:r>
          </w:p>
        </w:tc>
        <w:tc>
          <w:tcPr>
            <w:tcW w:w="88" w:type="pct"/>
            <w:shd w:val="clear" w:color="auto" w:fill="FFFFFF"/>
            <w:tcMar>
              <w:top w:w="15" w:type="dxa"/>
              <w:left w:w="0" w:type="dxa"/>
              <w:bottom w:w="0" w:type="dxa"/>
              <w:right w:w="15" w:type="dxa"/>
            </w:tcMar>
            <w:vAlign w:val="bottom"/>
          </w:tcPr>
          <w:p w14:paraId="5265FE5B" w14:textId="77777777" w:rsidR="009A5AEC" w:rsidRDefault="00000000">
            <w:pPr>
              <w:pStyle w:val="Normal0"/>
              <w:rPr>
                <w:color w:val="000000"/>
                <w:sz w:val="20"/>
              </w:rPr>
            </w:pPr>
            <w:r>
              <w:rPr>
                <w:color w:val="000000"/>
                <w:sz w:val="20"/>
              </w:rPr>
              <w:t xml:space="preserve"> </w:t>
            </w:r>
          </w:p>
        </w:tc>
        <w:tc>
          <w:tcPr>
            <w:tcW w:w="661" w:type="pct"/>
            <w:gridSpan w:val="2"/>
            <w:tcBorders>
              <w:bottom w:val="single" w:sz="2" w:space="0" w:color="000000"/>
            </w:tcBorders>
            <w:shd w:val="clear" w:color="auto" w:fill="FFFFFF"/>
            <w:tcMar>
              <w:top w:w="15" w:type="dxa"/>
              <w:left w:w="0" w:type="dxa"/>
              <w:bottom w:w="0" w:type="dxa"/>
              <w:right w:w="15" w:type="dxa"/>
            </w:tcMar>
            <w:vAlign w:val="bottom"/>
          </w:tcPr>
          <w:p w14:paraId="2DDBD927" w14:textId="77777777" w:rsidR="009A5AEC" w:rsidRDefault="00000000">
            <w:pPr>
              <w:pStyle w:val="Normal0"/>
              <w:jc w:val="center"/>
              <w:rPr>
                <w:b/>
                <w:color w:val="000000"/>
                <w:sz w:val="20"/>
              </w:rPr>
            </w:pPr>
            <w:r>
              <w:rPr>
                <w:b/>
                <w:color w:val="000000"/>
                <w:sz w:val="20"/>
              </w:rPr>
              <w:t>September 30, 2022</w:t>
            </w:r>
          </w:p>
        </w:tc>
        <w:tc>
          <w:tcPr>
            <w:tcW w:w="50" w:type="pct"/>
            <w:shd w:val="clear" w:color="auto" w:fill="FFFFFF"/>
            <w:noWrap/>
            <w:tcMar>
              <w:top w:w="15" w:type="dxa"/>
              <w:left w:w="0" w:type="dxa"/>
              <w:bottom w:w="0" w:type="dxa"/>
              <w:right w:w="15" w:type="dxa"/>
            </w:tcMar>
            <w:vAlign w:val="bottom"/>
          </w:tcPr>
          <w:p w14:paraId="66267CD1" w14:textId="77777777" w:rsidR="009A5AEC" w:rsidRDefault="00000000">
            <w:pPr>
              <w:pStyle w:val="Normal0"/>
              <w:rPr>
                <w:b/>
                <w:color w:val="000000"/>
                <w:sz w:val="20"/>
              </w:rPr>
            </w:pPr>
            <w:r>
              <w:rPr>
                <w:b/>
                <w:color w:val="000000"/>
                <w:sz w:val="20"/>
              </w:rPr>
              <w:t xml:space="preserve"> </w:t>
            </w:r>
          </w:p>
        </w:tc>
        <w:tc>
          <w:tcPr>
            <w:tcW w:w="88" w:type="pct"/>
            <w:shd w:val="clear" w:color="auto" w:fill="FFFFFF"/>
            <w:tcMar>
              <w:top w:w="15" w:type="dxa"/>
              <w:left w:w="0" w:type="dxa"/>
              <w:bottom w:w="0" w:type="dxa"/>
              <w:right w:w="15" w:type="dxa"/>
            </w:tcMar>
            <w:vAlign w:val="bottom"/>
          </w:tcPr>
          <w:p w14:paraId="6D8F3AFC" w14:textId="77777777" w:rsidR="009A5AEC" w:rsidRDefault="00000000">
            <w:pPr>
              <w:pStyle w:val="Normal0"/>
              <w:rPr>
                <w:color w:val="000000"/>
                <w:sz w:val="20"/>
              </w:rPr>
            </w:pPr>
            <w:r>
              <w:rPr>
                <w:color w:val="000000"/>
                <w:sz w:val="20"/>
              </w:rPr>
              <w:t xml:space="preserve"> </w:t>
            </w:r>
          </w:p>
        </w:tc>
        <w:tc>
          <w:tcPr>
            <w:tcW w:w="661" w:type="pct"/>
            <w:gridSpan w:val="2"/>
            <w:tcBorders>
              <w:bottom w:val="single" w:sz="2" w:space="0" w:color="000000"/>
            </w:tcBorders>
            <w:shd w:val="clear" w:color="auto" w:fill="FFFFFF"/>
            <w:tcMar>
              <w:top w:w="15" w:type="dxa"/>
              <w:left w:w="0" w:type="dxa"/>
              <w:bottom w:w="0" w:type="dxa"/>
              <w:right w:w="15" w:type="dxa"/>
            </w:tcMar>
            <w:vAlign w:val="bottom"/>
          </w:tcPr>
          <w:p w14:paraId="2AD6C651" w14:textId="77777777" w:rsidR="009A5AEC" w:rsidRDefault="00000000">
            <w:pPr>
              <w:pStyle w:val="Normal0"/>
              <w:jc w:val="center"/>
              <w:rPr>
                <w:b/>
                <w:color w:val="000000"/>
                <w:sz w:val="20"/>
              </w:rPr>
            </w:pPr>
            <w:r>
              <w:rPr>
                <w:b/>
                <w:color w:val="000000"/>
                <w:sz w:val="20"/>
              </w:rPr>
              <w:t>December 31, 2021</w:t>
            </w:r>
          </w:p>
        </w:tc>
        <w:tc>
          <w:tcPr>
            <w:tcW w:w="50" w:type="pct"/>
            <w:shd w:val="clear" w:color="auto" w:fill="FFFFFF"/>
            <w:noWrap/>
            <w:tcMar>
              <w:top w:w="15" w:type="dxa"/>
              <w:left w:w="0" w:type="dxa"/>
              <w:bottom w:w="0" w:type="dxa"/>
              <w:right w:w="15" w:type="dxa"/>
            </w:tcMar>
            <w:vAlign w:val="bottom"/>
          </w:tcPr>
          <w:p w14:paraId="0C82D324" w14:textId="77777777" w:rsidR="009A5AEC" w:rsidRDefault="00000000">
            <w:pPr>
              <w:pStyle w:val="Normal0"/>
              <w:rPr>
                <w:b/>
                <w:color w:val="000000"/>
                <w:sz w:val="20"/>
              </w:rPr>
            </w:pPr>
            <w:r>
              <w:rPr>
                <w:b/>
                <w:color w:val="000000"/>
                <w:sz w:val="20"/>
              </w:rPr>
              <w:t xml:space="preserve"> </w:t>
            </w:r>
          </w:p>
        </w:tc>
      </w:tr>
      <w:tr w:rsidR="003116D1" w14:paraId="4BDF31DD" w14:textId="77777777">
        <w:trPr>
          <w:cantSplit/>
          <w:jc w:val="center"/>
        </w:trPr>
        <w:tc>
          <w:tcPr>
            <w:tcW w:w="3400" w:type="pct"/>
            <w:shd w:val="clear" w:color="auto" w:fill="FFFFFF"/>
            <w:tcMar>
              <w:top w:w="15" w:type="dxa"/>
              <w:left w:w="0" w:type="dxa"/>
              <w:bottom w:w="0" w:type="dxa"/>
              <w:right w:w="15" w:type="dxa"/>
            </w:tcMar>
            <w:vAlign w:val="bottom"/>
          </w:tcPr>
          <w:p w14:paraId="777B4878" w14:textId="77777777" w:rsidR="009A5AEC" w:rsidRDefault="00000000">
            <w:pPr>
              <w:pStyle w:val="Normal0"/>
              <w:keepNext/>
              <w:rPr>
                <w:b/>
                <w:color w:val="000000"/>
                <w:sz w:val="20"/>
              </w:rPr>
            </w:pPr>
            <w:r>
              <w:rPr>
                <w:b/>
                <w:color w:val="000000"/>
                <w:sz w:val="20"/>
              </w:rPr>
              <w:t xml:space="preserve"> ASSETS</w:t>
            </w:r>
          </w:p>
        </w:tc>
        <w:tc>
          <w:tcPr>
            <w:tcW w:w="88" w:type="pct"/>
            <w:shd w:val="clear" w:color="auto" w:fill="FFFFFF"/>
            <w:tcMar>
              <w:top w:w="15" w:type="dxa"/>
              <w:left w:w="0" w:type="dxa"/>
              <w:bottom w:w="0" w:type="dxa"/>
              <w:right w:w="15" w:type="dxa"/>
            </w:tcMar>
            <w:vAlign w:val="bottom"/>
          </w:tcPr>
          <w:p w14:paraId="4F9812A3"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180FD88D" w14:textId="77777777" w:rsidR="009A5AEC" w:rsidRDefault="00000000">
            <w:pPr>
              <w:pStyle w:val="Normal0"/>
              <w:rPr>
                <w:color w:val="000000"/>
                <w:sz w:val="20"/>
              </w:rPr>
            </w:pPr>
            <w:r>
              <w:rPr>
                <w:color w:val="000000"/>
                <w:sz w:val="20"/>
              </w:rPr>
              <w:t xml:space="preserve"> </w:t>
            </w:r>
          </w:p>
        </w:tc>
        <w:tc>
          <w:tcPr>
            <w:tcW w:w="611" w:type="pct"/>
            <w:tcBorders>
              <w:top w:val="single" w:sz="2" w:space="0" w:color="000000"/>
            </w:tcBorders>
            <w:shd w:val="clear" w:color="auto" w:fill="FFFFFF"/>
            <w:noWrap/>
            <w:tcMar>
              <w:top w:w="15" w:type="dxa"/>
              <w:left w:w="0" w:type="dxa"/>
              <w:bottom w:w="0" w:type="dxa"/>
              <w:right w:w="15" w:type="dxa"/>
            </w:tcMar>
            <w:vAlign w:val="bottom"/>
          </w:tcPr>
          <w:p w14:paraId="32F34AD4"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3A8A63EF" w14:textId="77777777" w:rsidR="009A5AEC" w:rsidRDefault="00000000">
            <w:pPr>
              <w:pStyle w:val="Normal0"/>
              <w:rPr>
                <w:color w:val="000000"/>
                <w:sz w:val="20"/>
              </w:rPr>
            </w:pPr>
            <w:r>
              <w:rPr>
                <w:color w:val="000000"/>
                <w:sz w:val="20"/>
              </w:rPr>
              <w:t xml:space="preserve"> </w:t>
            </w:r>
          </w:p>
        </w:tc>
        <w:tc>
          <w:tcPr>
            <w:tcW w:w="88" w:type="pct"/>
            <w:shd w:val="clear" w:color="auto" w:fill="FFFFFF"/>
            <w:tcMar>
              <w:top w:w="15" w:type="dxa"/>
              <w:left w:w="0" w:type="dxa"/>
              <w:bottom w:w="0" w:type="dxa"/>
              <w:right w:w="15" w:type="dxa"/>
            </w:tcMar>
            <w:vAlign w:val="bottom"/>
          </w:tcPr>
          <w:p w14:paraId="6A289526"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31EEBE07" w14:textId="77777777" w:rsidR="009A5AEC" w:rsidRDefault="00000000">
            <w:pPr>
              <w:pStyle w:val="Normal0"/>
              <w:rPr>
                <w:color w:val="000000"/>
                <w:sz w:val="20"/>
              </w:rPr>
            </w:pPr>
            <w:r>
              <w:rPr>
                <w:color w:val="000000"/>
                <w:sz w:val="20"/>
              </w:rPr>
              <w:t xml:space="preserve"> </w:t>
            </w:r>
          </w:p>
        </w:tc>
        <w:tc>
          <w:tcPr>
            <w:tcW w:w="611" w:type="pct"/>
            <w:tcBorders>
              <w:top w:val="single" w:sz="2" w:space="0" w:color="000000"/>
            </w:tcBorders>
            <w:shd w:val="clear" w:color="auto" w:fill="FFFFFF"/>
            <w:noWrap/>
            <w:tcMar>
              <w:top w:w="15" w:type="dxa"/>
              <w:left w:w="0" w:type="dxa"/>
              <w:bottom w:w="0" w:type="dxa"/>
              <w:right w:w="15" w:type="dxa"/>
            </w:tcMar>
            <w:vAlign w:val="bottom"/>
          </w:tcPr>
          <w:p w14:paraId="2EFCE99C"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379AE20F" w14:textId="77777777" w:rsidR="009A5AEC" w:rsidRDefault="00000000">
            <w:pPr>
              <w:pStyle w:val="Normal0"/>
              <w:rPr>
                <w:color w:val="000000"/>
                <w:sz w:val="20"/>
              </w:rPr>
            </w:pPr>
            <w:r>
              <w:rPr>
                <w:color w:val="000000"/>
                <w:sz w:val="20"/>
              </w:rPr>
              <w:t xml:space="preserve"> </w:t>
            </w:r>
          </w:p>
        </w:tc>
      </w:tr>
      <w:tr w:rsidR="003116D1" w14:paraId="49FEF725" w14:textId="77777777">
        <w:trPr>
          <w:cantSplit/>
          <w:jc w:val="center"/>
        </w:trPr>
        <w:tc>
          <w:tcPr>
            <w:tcW w:w="3400" w:type="pct"/>
            <w:shd w:val="clear" w:color="auto" w:fill="FFFFFF"/>
            <w:tcMar>
              <w:top w:w="15" w:type="dxa"/>
              <w:left w:w="0" w:type="dxa"/>
              <w:bottom w:w="0" w:type="dxa"/>
              <w:right w:w="15" w:type="dxa"/>
            </w:tcMar>
            <w:vAlign w:val="bottom"/>
          </w:tcPr>
          <w:p w14:paraId="4C88D203" w14:textId="77777777" w:rsidR="009A5AEC" w:rsidRDefault="00000000">
            <w:pPr>
              <w:pStyle w:val="Normal0"/>
              <w:keepNext/>
              <w:ind w:left="137"/>
              <w:rPr>
                <w:color w:val="000000"/>
                <w:sz w:val="20"/>
              </w:rPr>
            </w:pPr>
            <w:r>
              <w:rPr>
                <w:color w:val="000000"/>
                <w:sz w:val="20"/>
              </w:rPr>
              <w:t xml:space="preserve"> Cash and cash equivalents</w:t>
            </w:r>
          </w:p>
        </w:tc>
        <w:tc>
          <w:tcPr>
            <w:tcW w:w="88" w:type="pct"/>
            <w:shd w:val="clear" w:color="auto" w:fill="FFFFFF"/>
            <w:tcMar>
              <w:top w:w="15" w:type="dxa"/>
              <w:left w:w="0" w:type="dxa"/>
              <w:bottom w:w="0" w:type="dxa"/>
              <w:right w:w="15" w:type="dxa"/>
            </w:tcMar>
            <w:vAlign w:val="bottom"/>
          </w:tcPr>
          <w:p w14:paraId="37ED980E"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30EF1832" w14:textId="77777777" w:rsidR="009A5AEC" w:rsidRDefault="00000000">
            <w:pPr>
              <w:pStyle w:val="Normal0"/>
              <w:rPr>
                <w:color w:val="000000"/>
                <w:sz w:val="20"/>
              </w:rPr>
            </w:pPr>
            <w:r>
              <w:rPr>
                <w:color w:val="000000"/>
                <w:sz w:val="20"/>
              </w:rPr>
              <w:t>$</w:t>
            </w:r>
          </w:p>
        </w:tc>
        <w:tc>
          <w:tcPr>
            <w:tcW w:w="611" w:type="pct"/>
            <w:shd w:val="clear" w:color="auto" w:fill="FFFFFF"/>
            <w:noWrap/>
            <w:tcMar>
              <w:top w:w="15" w:type="dxa"/>
              <w:left w:w="0" w:type="dxa"/>
              <w:bottom w:w="0" w:type="dxa"/>
              <w:right w:w="15" w:type="dxa"/>
            </w:tcMar>
            <w:vAlign w:val="bottom"/>
          </w:tcPr>
          <w:p w14:paraId="5F7FF819" w14:textId="77777777" w:rsidR="009A5AEC" w:rsidRDefault="00000000">
            <w:pPr>
              <w:pStyle w:val="Normal0"/>
              <w:jc w:val="right"/>
              <w:rPr>
                <w:color w:val="000000"/>
                <w:sz w:val="20"/>
              </w:rPr>
            </w:pPr>
            <w:r>
              <w:rPr>
                <w:color w:val="000000"/>
                <w:sz w:val="20"/>
              </w:rPr>
              <w:t>22,291</w:t>
            </w:r>
          </w:p>
        </w:tc>
        <w:tc>
          <w:tcPr>
            <w:tcW w:w="50" w:type="pct"/>
            <w:shd w:val="clear" w:color="auto" w:fill="FFFFFF"/>
            <w:noWrap/>
            <w:tcMar>
              <w:top w:w="15" w:type="dxa"/>
              <w:left w:w="0" w:type="dxa"/>
              <w:bottom w:w="0" w:type="dxa"/>
              <w:right w:w="15" w:type="dxa"/>
            </w:tcMar>
            <w:vAlign w:val="bottom"/>
          </w:tcPr>
          <w:p w14:paraId="4B5DD14A" w14:textId="77777777" w:rsidR="009A5AEC" w:rsidRDefault="00000000">
            <w:pPr>
              <w:pStyle w:val="Normal0"/>
              <w:rPr>
                <w:color w:val="000000"/>
                <w:sz w:val="20"/>
              </w:rPr>
            </w:pPr>
            <w:r>
              <w:rPr>
                <w:color w:val="000000"/>
                <w:sz w:val="20"/>
              </w:rPr>
              <w:t xml:space="preserve"> </w:t>
            </w:r>
          </w:p>
        </w:tc>
        <w:tc>
          <w:tcPr>
            <w:tcW w:w="88" w:type="pct"/>
            <w:shd w:val="clear" w:color="auto" w:fill="FFFFFF"/>
            <w:tcMar>
              <w:top w:w="15" w:type="dxa"/>
              <w:left w:w="0" w:type="dxa"/>
              <w:bottom w:w="0" w:type="dxa"/>
              <w:right w:w="15" w:type="dxa"/>
            </w:tcMar>
            <w:vAlign w:val="bottom"/>
          </w:tcPr>
          <w:p w14:paraId="6932E789"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60E962EF" w14:textId="77777777" w:rsidR="009A5AEC" w:rsidRDefault="00000000">
            <w:pPr>
              <w:pStyle w:val="Normal0"/>
              <w:rPr>
                <w:color w:val="000000"/>
                <w:sz w:val="20"/>
              </w:rPr>
            </w:pPr>
            <w:r>
              <w:rPr>
                <w:color w:val="000000"/>
                <w:sz w:val="20"/>
              </w:rPr>
              <w:t>$</w:t>
            </w:r>
          </w:p>
        </w:tc>
        <w:tc>
          <w:tcPr>
            <w:tcW w:w="611" w:type="pct"/>
            <w:shd w:val="clear" w:color="auto" w:fill="FFFFFF"/>
            <w:noWrap/>
            <w:tcMar>
              <w:top w:w="15" w:type="dxa"/>
              <w:left w:w="0" w:type="dxa"/>
              <w:bottom w:w="0" w:type="dxa"/>
              <w:right w:w="15" w:type="dxa"/>
            </w:tcMar>
            <w:vAlign w:val="bottom"/>
          </w:tcPr>
          <w:p w14:paraId="748567CD" w14:textId="77777777" w:rsidR="009A5AEC" w:rsidRDefault="00000000">
            <w:pPr>
              <w:pStyle w:val="Normal0"/>
              <w:jc w:val="right"/>
              <w:rPr>
                <w:color w:val="000000"/>
                <w:sz w:val="20"/>
              </w:rPr>
            </w:pPr>
            <w:r>
              <w:rPr>
                <w:color w:val="000000"/>
                <w:sz w:val="20"/>
              </w:rPr>
              <w:t>29,016</w:t>
            </w:r>
          </w:p>
        </w:tc>
        <w:tc>
          <w:tcPr>
            <w:tcW w:w="50" w:type="pct"/>
            <w:shd w:val="clear" w:color="auto" w:fill="FFFFFF"/>
            <w:noWrap/>
            <w:tcMar>
              <w:top w:w="15" w:type="dxa"/>
              <w:left w:w="0" w:type="dxa"/>
              <w:bottom w:w="0" w:type="dxa"/>
              <w:right w:w="15" w:type="dxa"/>
            </w:tcMar>
            <w:vAlign w:val="bottom"/>
          </w:tcPr>
          <w:p w14:paraId="3CEC22C7" w14:textId="77777777" w:rsidR="009A5AEC" w:rsidRDefault="00000000">
            <w:pPr>
              <w:pStyle w:val="Normal0"/>
              <w:rPr>
                <w:color w:val="000000"/>
                <w:sz w:val="20"/>
              </w:rPr>
            </w:pPr>
            <w:r>
              <w:rPr>
                <w:color w:val="000000"/>
                <w:sz w:val="20"/>
              </w:rPr>
              <w:t xml:space="preserve"> </w:t>
            </w:r>
          </w:p>
        </w:tc>
      </w:tr>
      <w:tr w:rsidR="003116D1" w14:paraId="28661A2A" w14:textId="77777777">
        <w:trPr>
          <w:cantSplit/>
          <w:jc w:val="center"/>
        </w:trPr>
        <w:tc>
          <w:tcPr>
            <w:tcW w:w="3400" w:type="pct"/>
            <w:shd w:val="clear" w:color="auto" w:fill="FFFFFF"/>
            <w:tcMar>
              <w:top w:w="15" w:type="dxa"/>
              <w:left w:w="0" w:type="dxa"/>
              <w:bottom w:w="0" w:type="dxa"/>
              <w:right w:w="15" w:type="dxa"/>
            </w:tcMar>
            <w:vAlign w:val="bottom"/>
          </w:tcPr>
          <w:p w14:paraId="555C31E3" w14:textId="77777777" w:rsidR="009A5AEC" w:rsidRDefault="00000000">
            <w:pPr>
              <w:pStyle w:val="Normal0"/>
              <w:keepNext/>
              <w:ind w:left="137"/>
              <w:rPr>
                <w:color w:val="000000"/>
                <w:sz w:val="20"/>
              </w:rPr>
            </w:pPr>
            <w:r>
              <w:rPr>
                <w:color w:val="000000"/>
                <w:sz w:val="20"/>
              </w:rPr>
              <w:t xml:space="preserve"> Marketable securities</w:t>
            </w:r>
          </w:p>
        </w:tc>
        <w:tc>
          <w:tcPr>
            <w:tcW w:w="88" w:type="pct"/>
            <w:shd w:val="clear" w:color="auto" w:fill="FFFFFF"/>
            <w:tcMar>
              <w:top w:w="15" w:type="dxa"/>
              <w:left w:w="0" w:type="dxa"/>
              <w:bottom w:w="0" w:type="dxa"/>
              <w:right w:w="15" w:type="dxa"/>
            </w:tcMar>
            <w:vAlign w:val="bottom"/>
          </w:tcPr>
          <w:p w14:paraId="4CF2BD70"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175A41B7" w14:textId="77777777" w:rsidR="009A5AEC" w:rsidRDefault="00000000">
            <w:pPr>
              <w:pStyle w:val="Normal0"/>
              <w:rPr>
                <w:color w:val="000000"/>
                <w:sz w:val="20"/>
              </w:rPr>
            </w:pPr>
            <w:r>
              <w:rPr>
                <w:color w:val="000000"/>
                <w:sz w:val="20"/>
              </w:rPr>
              <w:t xml:space="preserve"> </w:t>
            </w:r>
          </w:p>
        </w:tc>
        <w:tc>
          <w:tcPr>
            <w:tcW w:w="611" w:type="pct"/>
            <w:shd w:val="clear" w:color="auto" w:fill="FFFFFF"/>
            <w:noWrap/>
            <w:tcMar>
              <w:top w:w="15" w:type="dxa"/>
              <w:left w:w="0" w:type="dxa"/>
              <w:bottom w:w="0" w:type="dxa"/>
              <w:right w:w="15" w:type="dxa"/>
            </w:tcMar>
            <w:vAlign w:val="bottom"/>
          </w:tcPr>
          <w:p w14:paraId="7C97BCA7" w14:textId="77777777" w:rsidR="009A5AEC" w:rsidRDefault="00000000">
            <w:pPr>
              <w:pStyle w:val="Normal0"/>
              <w:jc w:val="right"/>
              <w:rPr>
                <w:color w:val="000000"/>
                <w:sz w:val="20"/>
              </w:rPr>
            </w:pPr>
            <w:r>
              <w:rPr>
                <w:color w:val="000000"/>
                <w:sz w:val="20"/>
              </w:rPr>
              <w:t>17,070</w:t>
            </w:r>
          </w:p>
        </w:tc>
        <w:tc>
          <w:tcPr>
            <w:tcW w:w="50" w:type="pct"/>
            <w:shd w:val="clear" w:color="auto" w:fill="FFFFFF"/>
            <w:noWrap/>
            <w:tcMar>
              <w:top w:w="15" w:type="dxa"/>
              <w:left w:w="0" w:type="dxa"/>
              <w:bottom w:w="0" w:type="dxa"/>
              <w:right w:w="15" w:type="dxa"/>
            </w:tcMar>
            <w:vAlign w:val="bottom"/>
          </w:tcPr>
          <w:p w14:paraId="642D5531" w14:textId="77777777" w:rsidR="009A5AEC" w:rsidRDefault="00000000">
            <w:pPr>
              <w:pStyle w:val="Normal0"/>
              <w:rPr>
                <w:color w:val="000000"/>
                <w:sz w:val="20"/>
              </w:rPr>
            </w:pPr>
            <w:r>
              <w:rPr>
                <w:color w:val="000000"/>
                <w:sz w:val="20"/>
              </w:rPr>
              <w:t xml:space="preserve"> </w:t>
            </w:r>
          </w:p>
        </w:tc>
        <w:tc>
          <w:tcPr>
            <w:tcW w:w="88" w:type="pct"/>
            <w:shd w:val="clear" w:color="auto" w:fill="FFFFFF"/>
            <w:tcMar>
              <w:top w:w="15" w:type="dxa"/>
              <w:left w:w="0" w:type="dxa"/>
              <w:bottom w:w="0" w:type="dxa"/>
              <w:right w:w="15" w:type="dxa"/>
            </w:tcMar>
            <w:vAlign w:val="bottom"/>
          </w:tcPr>
          <w:p w14:paraId="3A2A22D3"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7D86D350" w14:textId="77777777" w:rsidR="009A5AEC" w:rsidRDefault="00000000">
            <w:pPr>
              <w:pStyle w:val="Normal0"/>
              <w:rPr>
                <w:color w:val="000000"/>
                <w:sz w:val="20"/>
              </w:rPr>
            </w:pPr>
            <w:r>
              <w:rPr>
                <w:color w:val="000000"/>
                <w:sz w:val="20"/>
              </w:rPr>
              <w:t xml:space="preserve"> </w:t>
            </w:r>
          </w:p>
        </w:tc>
        <w:tc>
          <w:tcPr>
            <w:tcW w:w="611" w:type="pct"/>
            <w:shd w:val="clear" w:color="auto" w:fill="FFFFFF"/>
            <w:noWrap/>
            <w:tcMar>
              <w:top w:w="15" w:type="dxa"/>
              <w:left w:w="0" w:type="dxa"/>
              <w:bottom w:w="0" w:type="dxa"/>
              <w:right w:w="15" w:type="dxa"/>
            </w:tcMar>
            <w:vAlign w:val="bottom"/>
          </w:tcPr>
          <w:p w14:paraId="38659C06" w14:textId="77777777" w:rsidR="009A5AEC" w:rsidRDefault="00000000">
            <w:pPr>
              <w:pStyle w:val="Normal0"/>
              <w:jc w:val="right"/>
              <w:rPr>
                <w:color w:val="000000"/>
                <w:sz w:val="20"/>
              </w:rPr>
            </w:pPr>
            <w:r>
              <w:rPr>
                <w:color w:val="000000"/>
                <w:sz w:val="20"/>
              </w:rPr>
              <w:t>16,167</w:t>
            </w:r>
          </w:p>
        </w:tc>
        <w:tc>
          <w:tcPr>
            <w:tcW w:w="50" w:type="pct"/>
            <w:shd w:val="clear" w:color="auto" w:fill="FFFFFF"/>
            <w:noWrap/>
            <w:tcMar>
              <w:top w:w="15" w:type="dxa"/>
              <w:left w:w="0" w:type="dxa"/>
              <w:bottom w:w="0" w:type="dxa"/>
              <w:right w:w="15" w:type="dxa"/>
            </w:tcMar>
            <w:vAlign w:val="bottom"/>
          </w:tcPr>
          <w:p w14:paraId="2D1F64AD" w14:textId="77777777" w:rsidR="009A5AEC" w:rsidRDefault="00000000">
            <w:pPr>
              <w:pStyle w:val="Normal0"/>
              <w:rPr>
                <w:color w:val="000000"/>
                <w:sz w:val="20"/>
              </w:rPr>
            </w:pPr>
            <w:r>
              <w:rPr>
                <w:color w:val="000000"/>
                <w:sz w:val="20"/>
              </w:rPr>
              <w:t xml:space="preserve"> </w:t>
            </w:r>
          </w:p>
        </w:tc>
      </w:tr>
      <w:tr w:rsidR="003116D1" w14:paraId="061137E8" w14:textId="77777777">
        <w:trPr>
          <w:cantSplit/>
          <w:jc w:val="center"/>
        </w:trPr>
        <w:tc>
          <w:tcPr>
            <w:tcW w:w="3400" w:type="pct"/>
            <w:shd w:val="clear" w:color="auto" w:fill="FFFFFF"/>
            <w:tcMar>
              <w:top w:w="15" w:type="dxa"/>
              <w:left w:w="0" w:type="dxa"/>
              <w:bottom w:w="0" w:type="dxa"/>
              <w:right w:w="15" w:type="dxa"/>
            </w:tcMar>
            <w:vAlign w:val="bottom"/>
          </w:tcPr>
          <w:p w14:paraId="70068483" w14:textId="77777777" w:rsidR="009A5AEC" w:rsidRDefault="00000000">
            <w:pPr>
              <w:pStyle w:val="Normal0"/>
              <w:keepNext/>
              <w:ind w:left="137"/>
              <w:rPr>
                <w:color w:val="000000"/>
                <w:sz w:val="20"/>
              </w:rPr>
            </w:pPr>
            <w:r>
              <w:rPr>
                <w:color w:val="000000"/>
                <w:sz w:val="20"/>
              </w:rPr>
              <w:t xml:space="preserve"> Accounts receivable, net</w:t>
            </w:r>
          </w:p>
        </w:tc>
        <w:tc>
          <w:tcPr>
            <w:tcW w:w="88" w:type="pct"/>
            <w:shd w:val="clear" w:color="auto" w:fill="FFFFFF"/>
            <w:tcMar>
              <w:top w:w="15" w:type="dxa"/>
              <w:left w:w="0" w:type="dxa"/>
              <w:bottom w:w="0" w:type="dxa"/>
              <w:right w:w="15" w:type="dxa"/>
            </w:tcMar>
            <w:vAlign w:val="bottom"/>
          </w:tcPr>
          <w:p w14:paraId="45168BD4"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0CFF0FC6" w14:textId="77777777" w:rsidR="009A5AEC" w:rsidRDefault="00000000">
            <w:pPr>
              <w:pStyle w:val="Normal0"/>
              <w:rPr>
                <w:color w:val="000000"/>
                <w:sz w:val="20"/>
              </w:rPr>
            </w:pPr>
            <w:r>
              <w:rPr>
                <w:color w:val="000000"/>
                <w:sz w:val="20"/>
              </w:rPr>
              <w:t xml:space="preserve"> </w:t>
            </w:r>
          </w:p>
        </w:tc>
        <w:tc>
          <w:tcPr>
            <w:tcW w:w="611" w:type="pct"/>
            <w:shd w:val="clear" w:color="auto" w:fill="FFFFFF"/>
            <w:noWrap/>
            <w:tcMar>
              <w:top w:w="15" w:type="dxa"/>
              <w:left w:w="0" w:type="dxa"/>
              <w:bottom w:w="0" w:type="dxa"/>
              <w:right w:w="15" w:type="dxa"/>
            </w:tcMar>
            <w:vAlign w:val="bottom"/>
          </w:tcPr>
          <w:p w14:paraId="300CC48C" w14:textId="77777777" w:rsidR="009A5AEC" w:rsidRDefault="00000000">
            <w:pPr>
              <w:pStyle w:val="Normal0"/>
              <w:jc w:val="right"/>
              <w:rPr>
                <w:color w:val="000000"/>
                <w:sz w:val="20"/>
              </w:rPr>
            </w:pPr>
            <w:r>
              <w:rPr>
                <w:color w:val="000000"/>
                <w:sz w:val="20"/>
              </w:rPr>
              <w:t>5,622</w:t>
            </w:r>
          </w:p>
        </w:tc>
        <w:tc>
          <w:tcPr>
            <w:tcW w:w="50" w:type="pct"/>
            <w:shd w:val="clear" w:color="auto" w:fill="FFFFFF"/>
            <w:noWrap/>
            <w:tcMar>
              <w:top w:w="15" w:type="dxa"/>
              <w:left w:w="0" w:type="dxa"/>
              <w:bottom w:w="0" w:type="dxa"/>
              <w:right w:w="15" w:type="dxa"/>
            </w:tcMar>
            <w:vAlign w:val="bottom"/>
          </w:tcPr>
          <w:p w14:paraId="74DCE960" w14:textId="77777777" w:rsidR="009A5AEC" w:rsidRDefault="00000000">
            <w:pPr>
              <w:pStyle w:val="Normal0"/>
              <w:rPr>
                <w:color w:val="000000"/>
                <w:sz w:val="20"/>
              </w:rPr>
            </w:pPr>
            <w:r>
              <w:rPr>
                <w:color w:val="000000"/>
                <w:sz w:val="20"/>
              </w:rPr>
              <w:t xml:space="preserve"> </w:t>
            </w:r>
          </w:p>
        </w:tc>
        <w:tc>
          <w:tcPr>
            <w:tcW w:w="88" w:type="pct"/>
            <w:shd w:val="clear" w:color="auto" w:fill="FFFFFF"/>
            <w:tcMar>
              <w:top w:w="15" w:type="dxa"/>
              <w:left w:w="0" w:type="dxa"/>
              <w:bottom w:w="0" w:type="dxa"/>
              <w:right w:w="15" w:type="dxa"/>
            </w:tcMar>
            <w:vAlign w:val="bottom"/>
          </w:tcPr>
          <w:p w14:paraId="59F202C2"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3460A21F" w14:textId="77777777" w:rsidR="009A5AEC" w:rsidRDefault="00000000">
            <w:pPr>
              <w:pStyle w:val="Normal0"/>
              <w:rPr>
                <w:color w:val="000000"/>
                <w:sz w:val="20"/>
              </w:rPr>
            </w:pPr>
            <w:r>
              <w:rPr>
                <w:color w:val="000000"/>
                <w:sz w:val="20"/>
              </w:rPr>
              <w:t xml:space="preserve"> </w:t>
            </w:r>
          </w:p>
        </w:tc>
        <w:tc>
          <w:tcPr>
            <w:tcW w:w="611" w:type="pct"/>
            <w:shd w:val="clear" w:color="auto" w:fill="FFFFFF"/>
            <w:noWrap/>
            <w:tcMar>
              <w:top w:w="15" w:type="dxa"/>
              <w:left w:w="0" w:type="dxa"/>
              <w:bottom w:w="0" w:type="dxa"/>
              <w:right w:w="15" w:type="dxa"/>
            </w:tcMar>
            <w:vAlign w:val="bottom"/>
          </w:tcPr>
          <w:p w14:paraId="7A384A56" w14:textId="77777777" w:rsidR="009A5AEC" w:rsidRDefault="00000000">
            <w:pPr>
              <w:pStyle w:val="Normal0"/>
              <w:jc w:val="right"/>
              <w:rPr>
                <w:color w:val="000000"/>
                <w:sz w:val="20"/>
              </w:rPr>
            </w:pPr>
            <w:r>
              <w:rPr>
                <w:color w:val="000000"/>
                <w:sz w:val="20"/>
              </w:rPr>
              <w:t>4,667</w:t>
            </w:r>
          </w:p>
        </w:tc>
        <w:tc>
          <w:tcPr>
            <w:tcW w:w="50" w:type="pct"/>
            <w:shd w:val="clear" w:color="auto" w:fill="FFFFFF"/>
            <w:noWrap/>
            <w:tcMar>
              <w:top w:w="15" w:type="dxa"/>
              <w:left w:w="0" w:type="dxa"/>
              <w:bottom w:w="0" w:type="dxa"/>
              <w:right w:w="15" w:type="dxa"/>
            </w:tcMar>
            <w:vAlign w:val="bottom"/>
          </w:tcPr>
          <w:p w14:paraId="5C88C598" w14:textId="77777777" w:rsidR="009A5AEC" w:rsidRDefault="00000000">
            <w:pPr>
              <w:pStyle w:val="Normal0"/>
              <w:rPr>
                <w:color w:val="000000"/>
                <w:sz w:val="20"/>
              </w:rPr>
            </w:pPr>
            <w:r>
              <w:rPr>
                <w:color w:val="000000"/>
                <w:sz w:val="20"/>
              </w:rPr>
              <w:t xml:space="preserve"> </w:t>
            </w:r>
          </w:p>
        </w:tc>
      </w:tr>
      <w:tr w:rsidR="003116D1" w14:paraId="44947959" w14:textId="77777777">
        <w:trPr>
          <w:cantSplit/>
          <w:jc w:val="center"/>
        </w:trPr>
        <w:tc>
          <w:tcPr>
            <w:tcW w:w="3400" w:type="pct"/>
            <w:shd w:val="clear" w:color="auto" w:fill="FFFFFF"/>
            <w:tcMar>
              <w:top w:w="15" w:type="dxa"/>
              <w:left w:w="0" w:type="dxa"/>
              <w:bottom w:w="0" w:type="dxa"/>
              <w:right w:w="15" w:type="dxa"/>
            </w:tcMar>
            <w:vAlign w:val="bottom"/>
          </w:tcPr>
          <w:p w14:paraId="5D9A7108" w14:textId="77777777" w:rsidR="009A5AEC" w:rsidRDefault="00000000">
            <w:pPr>
              <w:pStyle w:val="Normal0"/>
              <w:keepNext/>
              <w:ind w:left="137"/>
              <w:rPr>
                <w:color w:val="000000"/>
                <w:sz w:val="20"/>
              </w:rPr>
            </w:pPr>
            <w:r>
              <w:rPr>
                <w:color w:val="000000"/>
                <w:sz w:val="20"/>
              </w:rPr>
              <w:t xml:space="preserve"> Inventories, net</w:t>
            </w:r>
          </w:p>
        </w:tc>
        <w:tc>
          <w:tcPr>
            <w:tcW w:w="88" w:type="pct"/>
            <w:shd w:val="clear" w:color="auto" w:fill="FFFFFF"/>
            <w:tcMar>
              <w:top w:w="15" w:type="dxa"/>
              <w:left w:w="0" w:type="dxa"/>
              <w:bottom w:w="0" w:type="dxa"/>
              <w:right w:w="15" w:type="dxa"/>
            </w:tcMar>
            <w:vAlign w:val="bottom"/>
          </w:tcPr>
          <w:p w14:paraId="08EF3120"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5B3C5DB5" w14:textId="77777777" w:rsidR="009A5AEC" w:rsidRDefault="00000000">
            <w:pPr>
              <w:pStyle w:val="Normal0"/>
              <w:rPr>
                <w:color w:val="000000"/>
                <w:sz w:val="20"/>
              </w:rPr>
            </w:pPr>
            <w:r>
              <w:rPr>
                <w:color w:val="000000"/>
                <w:sz w:val="20"/>
              </w:rPr>
              <w:t xml:space="preserve"> </w:t>
            </w:r>
          </w:p>
        </w:tc>
        <w:tc>
          <w:tcPr>
            <w:tcW w:w="611" w:type="pct"/>
            <w:shd w:val="clear" w:color="auto" w:fill="FFFFFF"/>
            <w:noWrap/>
            <w:tcMar>
              <w:top w:w="15" w:type="dxa"/>
              <w:left w:w="0" w:type="dxa"/>
              <w:bottom w:w="0" w:type="dxa"/>
              <w:right w:w="15" w:type="dxa"/>
            </w:tcMar>
            <w:vAlign w:val="bottom"/>
          </w:tcPr>
          <w:p w14:paraId="35E3D4BA" w14:textId="77777777" w:rsidR="009A5AEC" w:rsidRDefault="00000000">
            <w:pPr>
              <w:pStyle w:val="Normal0"/>
              <w:jc w:val="right"/>
              <w:rPr>
                <w:color w:val="000000"/>
                <w:sz w:val="20"/>
              </w:rPr>
            </w:pPr>
            <w:r>
              <w:rPr>
                <w:color w:val="000000"/>
                <w:sz w:val="20"/>
              </w:rPr>
              <w:t>7,584</w:t>
            </w:r>
          </w:p>
        </w:tc>
        <w:tc>
          <w:tcPr>
            <w:tcW w:w="50" w:type="pct"/>
            <w:shd w:val="clear" w:color="auto" w:fill="FFFFFF"/>
            <w:noWrap/>
            <w:tcMar>
              <w:top w:w="15" w:type="dxa"/>
              <w:left w:w="0" w:type="dxa"/>
              <w:bottom w:w="0" w:type="dxa"/>
              <w:right w:w="15" w:type="dxa"/>
            </w:tcMar>
            <w:vAlign w:val="bottom"/>
          </w:tcPr>
          <w:p w14:paraId="0064B399" w14:textId="77777777" w:rsidR="009A5AEC" w:rsidRDefault="00000000">
            <w:pPr>
              <w:pStyle w:val="Normal0"/>
              <w:rPr>
                <w:color w:val="000000"/>
                <w:sz w:val="20"/>
              </w:rPr>
            </w:pPr>
            <w:r>
              <w:rPr>
                <w:color w:val="000000"/>
                <w:sz w:val="20"/>
              </w:rPr>
              <w:t xml:space="preserve"> </w:t>
            </w:r>
          </w:p>
        </w:tc>
        <w:tc>
          <w:tcPr>
            <w:tcW w:w="88" w:type="pct"/>
            <w:shd w:val="clear" w:color="auto" w:fill="FFFFFF"/>
            <w:tcMar>
              <w:top w:w="15" w:type="dxa"/>
              <w:left w:w="0" w:type="dxa"/>
              <w:bottom w:w="0" w:type="dxa"/>
              <w:right w:w="15" w:type="dxa"/>
            </w:tcMar>
            <w:vAlign w:val="bottom"/>
          </w:tcPr>
          <w:p w14:paraId="324AA7C2"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751299A3" w14:textId="77777777" w:rsidR="009A5AEC" w:rsidRDefault="00000000">
            <w:pPr>
              <w:pStyle w:val="Normal0"/>
              <w:rPr>
                <w:color w:val="000000"/>
                <w:sz w:val="20"/>
              </w:rPr>
            </w:pPr>
            <w:r>
              <w:rPr>
                <w:color w:val="000000"/>
                <w:sz w:val="20"/>
              </w:rPr>
              <w:t xml:space="preserve"> </w:t>
            </w:r>
          </w:p>
        </w:tc>
        <w:tc>
          <w:tcPr>
            <w:tcW w:w="611" w:type="pct"/>
            <w:shd w:val="clear" w:color="auto" w:fill="FFFFFF"/>
            <w:noWrap/>
            <w:tcMar>
              <w:top w:w="15" w:type="dxa"/>
              <w:left w:w="0" w:type="dxa"/>
              <w:bottom w:w="0" w:type="dxa"/>
              <w:right w:w="15" w:type="dxa"/>
            </w:tcMar>
            <w:vAlign w:val="bottom"/>
          </w:tcPr>
          <w:p w14:paraId="659CFA79" w14:textId="77777777" w:rsidR="009A5AEC" w:rsidRDefault="00000000">
            <w:pPr>
              <w:pStyle w:val="Normal0"/>
              <w:jc w:val="right"/>
              <w:rPr>
                <w:color w:val="000000"/>
                <w:sz w:val="20"/>
              </w:rPr>
            </w:pPr>
            <w:r>
              <w:rPr>
                <w:color w:val="000000"/>
                <w:sz w:val="20"/>
              </w:rPr>
              <w:t>5,492</w:t>
            </w:r>
          </w:p>
        </w:tc>
        <w:tc>
          <w:tcPr>
            <w:tcW w:w="50" w:type="pct"/>
            <w:shd w:val="clear" w:color="auto" w:fill="FFFFFF"/>
            <w:noWrap/>
            <w:tcMar>
              <w:top w:w="15" w:type="dxa"/>
              <w:left w:w="0" w:type="dxa"/>
              <w:bottom w:w="0" w:type="dxa"/>
              <w:right w:w="15" w:type="dxa"/>
            </w:tcMar>
            <w:vAlign w:val="bottom"/>
          </w:tcPr>
          <w:p w14:paraId="5241E253" w14:textId="77777777" w:rsidR="009A5AEC" w:rsidRDefault="00000000">
            <w:pPr>
              <w:pStyle w:val="Normal0"/>
              <w:rPr>
                <w:color w:val="000000"/>
                <w:sz w:val="20"/>
              </w:rPr>
            </w:pPr>
            <w:r>
              <w:rPr>
                <w:color w:val="000000"/>
                <w:sz w:val="20"/>
              </w:rPr>
              <w:t xml:space="preserve"> </w:t>
            </w:r>
          </w:p>
        </w:tc>
      </w:tr>
      <w:tr w:rsidR="003116D1" w14:paraId="660084CA" w14:textId="77777777">
        <w:trPr>
          <w:cantSplit/>
          <w:jc w:val="center"/>
        </w:trPr>
        <w:tc>
          <w:tcPr>
            <w:tcW w:w="3400" w:type="pct"/>
            <w:shd w:val="clear" w:color="auto" w:fill="FFFFFF"/>
            <w:tcMar>
              <w:top w:w="15" w:type="dxa"/>
              <w:left w:w="0" w:type="dxa"/>
              <w:bottom w:w="0" w:type="dxa"/>
              <w:right w:w="15" w:type="dxa"/>
            </w:tcMar>
            <w:vAlign w:val="bottom"/>
          </w:tcPr>
          <w:p w14:paraId="0F001417" w14:textId="77777777" w:rsidR="009A5AEC" w:rsidRDefault="00000000">
            <w:pPr>
              <w:pStyle w:val="Normal0"/>
              <w:keepNext/>
              <w:ind w:left="137"/>
              <w:rPr>
                <w:color w:val="000000"/>
                <w:sz w:val="20"/>
              </w:rPr>
            </w:pPr>
            <w:r>
              <w:rPr>
                <w:color w:val="000000"/>
                <w:sz w:val="20"/>
              </w:rPr>
              <w:t xml:space="preserve"> Prepaid expenses and other current assets</w:t>
            </w:r>
          </w:p>
        </w:tc>
        <w:tc>
          <w:tcPr>
            <w:tcW w:w="88" w:type="pct"/>
            <w:shd w:val="clear" w:color="auto" w:fill="FFFFFF"/>
            <w:tcMar>
              <w:top w:w="15" w:type="dxa"/>
              <w:left w:w="0" w:type="dxa"/>
              <w:bottom w:w="0" w:type="dxa"/>
              <w:right w:w="15" w:type="dxa"/>
            </w:tcMar>
            <w:vAlign w:val="bottom"/>
          </w:tcPr>
          <w:p w14:paraId="110F7825"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1980E95A" w14:textId="77777777" w:rsidR="009A5AEC" w:rsidRDefault="00000000">
            <w:pPr>
              <w:pStyle w:val="Normal0"/>
              <w:rPr>
                <w:color w:val="000000"/>
                <w:sz w:val="20"/>
              </w:rPr>
            </w:pPr>
            <w:r>
              <w:rPr>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0184E73C" w14:textId="77777777" w:rsidR="009A5AEC" w:rsidRDefault="00000000">
            <w:pPr>
              <w:pStyle w:val="Normal0"/>
              <w:jc w:val="right"/>
              <w:rPr>
                <w:color w:val="000000"/>
                <w:sz w:val="20"/>
              </w:rPr>
            </w:pPr>
            <w:r>
              <w:rPr>
                <w:color w:val="000000"/>
                <w:sz w:val="20"/>
              </w:rPr>
              <w:t>217</w:t>
            </w:r>
          </w:p>
        </w:tc>
        <w:tc>
          <w:tcPr>
            <w:tcW w:w="50" w:type="pct"/>
            <w:shd w:val="clear" w:color="auto" w:fill="FFFFFF"/>
            <w:noWrap/>
            <w:tcMar>
              <w:top w:w="15" w:type="dxa"/>
              <w:left w:w="0" w:type="dxa"/>
              <w:bottom w:w="0" w:type="dxa"/>
              <w:right w:w="15" w:type="dxa"/>
            </w:tcMar>
            <w:vAlign w:val="bottom"/>
          </w:tcPr>
          <w:p w14:paraId="62A78B7D" w14:textId="77777777" w:rsidR="009A5AEC" w:rsidRDefault="00000000">
            <w:pPr>
              <w:pStyle w:val="Normal0"/>
              <w:rPr>
                <w:color w:val="000000"/>
                <w:sz w:val="20"/>
              </w:rPr>
            </w:pPr>
            <w:r>
              <w:rPr>
                <w:color w:val="000000"/>
                <w:sz w:val="20"/>
              </w:rPr>
              <w:t xml:space="preserve"> </w:t>
            </w:r>
          </w:p>
        </w:tc>
        <w:tc>
          <w:tcPr>
            <w:tcW w:w="88" w:type="pct"/>
            <w:shd w:val="clear" w:color="auto" w:fill="FFFFFF"/>
            <w:tcMar>
              <w:top w:w="15" w:type="dxa"/>
              <w:left w:w="0" w:type="dxa"/>
              <w:bottom w:w="0" w:type="dxa"/>
              <w:right w:w="15" w:type="dxa"/>
            </w:tcMar>
            <w:vAlign w:val="bottom"/>
          </w:tcPr>
          <w:p w14:paraId="509F1812"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026B51CB" w14:textId="77777777" w:rsidR="009A5AEC" w:rsidRDefault="00000000">
            <w:pPr>
              <w:pStyle w:val="Normal0"/>
              <w:rPr>
                <w:color w:val="000000"/>
                <w:sz w:val="20"/>
              </w:rPr>
            </w:pPr>
            <w:r>
              <w:rPr>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6A2D97C2" w14:textId="77777777" w:rsidR="009A5AEC" w:rsidRDefault="00000000">
            <w:pPr>
              <w:pStyle w:val="Normal0"/>
              <w:jc w:val="right"/>
              <w:rPr>
                <w:color w:val="000000"/>
                <w:sz w:val="20"/>
              </w:rPr>
            </w:pPr>
            <w:r>
              <w:rPr>
                <w:color w:val="000000"/>
                <w:sz w:val="20"/>
              </w:rPr>
              <w:t>494</w:t>
            </w:r>
          </w:p>
        </w:tc>
        <w:tc>
          <w:tcPr>
            <w:tcW w:w="50" w:type="pct"/>
            <w:shd w:val="clear" w:color="auto" w:fill="FFFFFF"/>
            <w:noWrap/>
            <w:tcMar>
              <w:top w:w="15" w:type="dxa"/>
              <w:left w:w="0" w:type="dxa"/>
              <w:bottom w:w="0" w:type="dxa"/>
              <w:right w:w="15" w:type="dxa"/>
            </w:tcMar>
            <w:vAlign w:val="bottom"/>
          </w:tcPr>
          <w:p w14:paraId="7223E476" w14:textId="77777777" w:rsidR="009A5AEC" w:rsidRDefault="00000000">
            <w:pPr>
              <w:pStyle w:val="Normal0"/>
              <w:rPr>
                <w:color w:val="000000"/>
                <w:sz w:val="20"/>
              </w:rPr>
            </w:pPr>
            <w:r>
              <w:rPr>
                <w:color w:val="000000"/>
                <w:sz w:val="20"/>
              </w:rPr>
              <w:t xml:space="preserve"> </w:t>
            </w:r>
          </w:p>
        </w:tc>
      </w:tr>
      <w:tr w:rsidR="003116D1" w14:paraId="2D47BB50" w14:textId="77777777">
        <w:trPr>
          <w:cantSplit/>
          <w:jc w:val="center"/>
        </w:trPr>
        <w:tc>
          <w:tcPr>
            <w:tcW w:w="3400" w:type="pct"/>
            <w:shd w:val="clear" w:color="auto" w:fill="FFFFFF"/>
            <w:tcMar>
              <w:top w:w="15" w:type="dxa"/>
              <w:left w:w="0" w:type="dxa"/>
              <w:bottom w:w="0" w:type="dxa"/>
              <w:right w:w="15" w:type="dxa"/>
            </w:tcMar>
            <w:vAlign w:val="bottom"/>
          </w:tcPr>
          <w:p w14:paraId="3CF33863" w14:textId="77777777" w:rsidR="009A5AEC" w:rsidRDefault="00000000">
            <w:pPr>
              <w:pStyle w:val="Normal0"/>
              <w:keepNext/>
              <w:ind w:left="274"/>
              <w:rPr>
                <w:color w:val="000000"/>
                <w:sz w:val="20"/>
              </w:rPr>
            </w:pPr>
            <w:r>
              <w:rPr>
                <w:color w:val="000000"/>
                <w:sz w:val="20"/>
              </w:rPr>
              <w:t xml:space="preserve"> Total Current Assets</w:t>
            </w:r>
          </w:p>
        </w:tc>
        <w:tc>
          <w:tcPr>
            <w:tcW w:w="88" w:type="pct"/>
            <w:shd w:val="clear" w:color="auto" w:fill="FFFFFF"/>
            <w:tcMar>
              <w:top w:w="15" w:type="dxa"/>
              <w:left w:w="0" w:type="dxa"/>
              <w:bottom w:w="0" w:type="dxa"/>
              <w:right w:w="15" w:type="dxa"/>
            </w:tcMar>
            <w:vAlign w:val="bottom"/>
          </w:tcPr>
          <w:p w14:paraId="59C7033B"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42D3E366" w14:textId="77777777" w:rsidR="009A5AEC" w:rsidRDefault="00000000">
            <w:pPr>
              <w:pStyle w:val="Normal0"/>
              <w:rPr>
                <w:color w:val="000000"/>
                <w:sz w:val="20"/>
              </w:rPr>
            </w:pPr>
            <w:r>
              <w:rPr>
                <w:color w:val="000000"/>
                <w:sz w:val="20"/>
              </w:rPr>
              <w:t xml:space="preserve"> </w:t>
            </w:r>
          </w:p>
        </w:tc>
        <w:tc>
          <w:tcPr>
            <w:tcW w:w="611" w:type="pct"/>
            <w:tcBorders>
              <w:top w:val="single" w:sz="2" w:space="0" w:color="000000"/>
            </w:tcBorders>
            <w:shd w:val="clear" w:color="auto" w:fill="FFFFFF"/>
            <w:noWrap/>
            <w:tcMar>
              <w:top w:w="15" w:type="dxa"/>
              <w:left w:w="0" w:type="dxa"/>
              <w:bottom w:w="0" w:type="dxa"/>
              <w:right w:w="15" w:type="dxa"/>
            </w:tcMar>
            <w:vAlign w:val="bottom"/>
          </w:tcPr>
          <w:p w14:paraId="55C78849" w14:textId="77777777" w:rsidR="009A5AEC" w:rsidRDefault="00000000">
            <w:pPr>
              <w:pStyle w:val="Normal0"/>
              <w:jc w:val="right"/>
              <w:rPr>
                <w:color w:val="000000"/>
                <w:sz w:val="20"/>
              </w:rPr>
            </w:pPr>
            <w:r>
              <w:rPr>
                <w:color w:val="000000"/>
                <w:sz w:val="20"/>
              </w:rPr>
              <w:t>52,784</w:t>
            </w:r>
          </w:p>
        </w:tc>
        <w:tc>
          <w:tcPr>
            <w:tcW w:w="50" w:type="pct"/>
            <w:shd w:val="clear" w:color="auto" w:fill="FFFFFF"/>
            <w:noWrap/>
            <w:tcMar>
              <w:top w:w="15" w:type="dxa"/>
              <w:left w:w="0" w:type="dxa"/>
              <w:bottom w:w="0" w:type="dxa"/>
              <w:right w:w="15" w:type="dxa"/>
            </w:tcMar>
            <w:vAlign w:val="bottom"/>
          </w:tcPr>
          <w:p w14:paraId="62C43641" w14:textId="77777777" w:rsidR="009A5AEC" w:rsidRDefault="00000000">
            <w:pPr>
              <w:pStyle w:val="Normal0"/>
              <w:rPr>
                <w:color w:val="000000"/>
                <w:sz w:val="20"/>
              </w:rPr>
            </w:pPr>
            <w:r>
              <w:rPr>
                <w:color w:val="000000"/>
                <w:sz w:val="20"/>
              </w:rPr>
              <w:t xml:space="preserve"> </w:t>
            </w:r>
          </w:p>
        </w:tc>
        <w:tc>
          <w:tcPr>
            <w:tcW w:w="88" w:type="pct"/>
            <w:shd w:val="clear" w:color="auto" w:fill="FFFFFF"/>
            <w:tcMar>
              <w:top w:w="15" w:type="dxa"/>
              <w:left w:w="0" w:type="dxa"/>
              <w:bottom w:w="0" w:type="dxa"/>
              <w:right w:w="15" w:type="dxa"/>
            </w:tcMar>
            <w:vAlign w:val="bottom"/>
          </w:tcPr>
          <w:p w14:paraId="1C623E5F"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7FFF856B" w14:textId="77777777" w:rsidR="009A5AEC" w:rsidRDefault="00000000">
            <w:pPr>
              <w:pStyle w:val="Normal0"/>
              <w:rPr>
                <w:color w:val="000000"/>
                <w:sz w:val="20"/>
              </w:rPr>
            </w:pPr>
            <w:r>
              <w:rPr>
                <w:color w:val="000000"/>
                <w:sz w:val="20"/>
              </w:rPr>
              <w:t xml:space="preserve"> </w:t>
            </w:r>
          </w:p>
        </w:tc>
        <w:tc>
          <w:tcPr>
            <w:tcW w:w="611" w:type="pct"/>
            <w:tcBorders>
              <w:top w:val="single" w:sz="2" w:space="0" w:color="000000"/>
            </w:tcBorders>
            <w:shd w:val="clear" w:color="auto" w:fill="FFFFFF"/>
            <w:noWrap/>
            <w:tcMar>
              <w:top w:w="15" w:type="dxa"/>
              <w:left w:w="0" w:type="dxa"/>
              <w:bottom w:w="0" w:type="dxa"/>
              <w:right w:w="15" w:type="dxa"/>
            </w:tcMar>
            <w:vAlign w:val="bottom"/>
          </w:tcPr>
          <w:p w14:paraId="08AE61F2" w14:textId="77777777" w:rsidR="009A5AEC" w:rsidRDefault="00000000">
            <w:pPr>
              <w:pStyle w:val="Normal0"/>
              <w:jc w:val="right"/>
              <w:rPr>
                <w:color w:val="000000"/>
                <w:sz w:val="20"/>
              </w:rPr>
            </w:pPr>
            <w:r>
              <w:rPr>
                <w:color w:val="000000"/>
                <w:sz w:val="20"/>
              </w:rPr>
              <w:t>55,836</w:t>
            </w:r>
          </w:p>
        </w:tc>
        <w:tc>
          <w:tcPr>
            <w:tcW w:w="50" w:type="pct"/>
            <w:shd w:val="clear" w:color="auto" w:fill="FFFFFF"/>
            <w:noWrap/>
            <w:tcMar>
              <w:top w:w="15" w:type="dxa"/>
              <w:left w:w="0" w:type="dxa"/>
              <w:bottom w:w="0" w:type="dxa"/>
              <w:right w:w="15" w:type="dxa"/>
            </w:tcMar>
            <w:vAlign w:val="bottom"/>
          </w:tcPr>
          <w:p w14:paraId="24F02EFF" w14:textId="77777777" w:rsidR="009A5AEC" w:rsidRDefault="00000000">
            <w:pPr>
              <w:pStyle w:val="Normal0"/>
              <w:rPr>
                <w:color w:val="000000"/>
                <w:sz w:val="20"/>
              </w:rPr>
            </w:pPr>
            <w:r>
              <w:rPr>
                <w:color w:val="000000"/>
                <w:sz w:val="20"/>
              </w:rPr>
              <w:t xml:space="preserve"> </w:t>
            </w:r>
          </w:p>
        </w:tc>
      </w:tr>
      <w:tr w:rsidR="003116D1" w14:paraId="4E06B2F6" w14:textId="77777777">
        <w:trPr>
          <w:cantSplit/>
          <w:jc w:val="center"/>
        </w:trPr>
        <w:tc>
          <w:tcPr>
            <w:tcW w:w="3400" w:type="pct"/>
            <w:shd w:val="clear" w:color="auto" w:fill="FFFFFF"/>
            <w:tcMar>
              <w:top w:w="15" w:type="dxa"/>
              <w:left w:w="0" w:type="dxa"/>
              <w:bottom w:w="0" w:type="dxa"/>
              <w:right w:w="15" w:type="dxa"/>
            </w:tcMar>
            <w:vAlign w:val="bottom"/>
          </w:tcPr>
          <w:p w14:paraId="33E9BB43" w14:textId="77777777" w:rsidR="009A5AEC" w:rsidRDefault="00000000">
            <w:pPr>
              <w:pStyle w:val="Normal0"/>
              <w:keepNext/>
              <w:ind w:left="137"/>
              <w:rPr>
                <w:color w:val="000000"/>
                <w:sz w:val="20"/>
              </w:rPr>
            </w:pPr>
            <w:r>
              <w:rPr>
                <w:color w:val="000000"/>
                <w:sz w:val="20"/>
              </w:rPr>
              <w:t xml:space="preserve"> Property, plant and equipment, net</w:t>
            </w:r>
          </w:p>
        </w:tc>
        <w:tc>
          <w:tcPr>
            <w:tcW w:w="88" w:type="pct"/>
            <w:shd w:val="clear" w:color="auto" w:fill="FFFFFF"/>
            <w:tcMar>
              <w:top w:w="15" w:type="dxa"/>
              <w:left w:w="0" w:type="dxa"/>
              <w:bottom w:w="0" w:type="dxa"/>
              <w:right w:w="15" w:type="dxa"/>
            </w:tcMar>
            <w:vAlign w:val="bottom"/>
          </w:tcPr>
          <w:p w14:paraId="28C1D2F5"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2EC6BDC6" w14:textId="77777777" w:rsidR="009A5AEC" w:rsidRDefault="00000000">
            <w:pPr>
              <w:pStyle w:val="Normal0"/>
              <w:rPr>
                <w:color w:val="000000"/>
                <w:sz w:val="20"/>
              </w:rPr>
            </w:pPr>
            <w:r>
              <w:rPr>
                <w:color w:val="000000"/>
                <w:sz w:val="20"/>
              </w:rPr>
              <w:t xml:space="preserve"> </w:t>
            </w:r>
          </w:p>
        </w:tc>
        <w:tc>
          <w:tcPr>
            <w:tcW w:w="611" w:type="pct"/>
            <w:shd w:val="clear" w:color="auto" w:fill="FFFFFF"/>
            <w:noWrap/>
            <w:tcMar>
              <w:top w:w="15" w:type="dxa"/>
              <w:left w:w="0" w:type="dxa"/>
              <w:bottom w:w="0" w:type="dxa"/>
              <w:right w:w="15" w:type="dxa"/>
            </w:tcMar>
            <w:vAlign w:val="bottom"/>
          </w:tcPr>
          <w:p w14:paraId="196B1452" w14:textId="77777777" w:rsidR="009A5AEC" w:rsidRDefault="00000000">
            <w:pPr>
              <w:pStyle w:val="Normal0"/>
              <w:jc w:val="right"/>
              <w:rPr>
                <w:color w:val="000000"/>
                <w:sz w:val="20"/>
              </w:rPr>
            </w:pPr>
            <w:r>
              <w:rPr>
                <w:color w:val="000000"/>
                <w:sz w:val="20"/>
              </w:rPr>
              <w:t>3,560</w:t>
            </w:r>
          </w:p>
        </w:tc>
        <w:tc>
          <w:tcPr>
            <w:tcW w:w="50" w:type="pct"/>
            <w:shd w:val="clear" w:color="auto" w:fill="FFFFFF"/>
            <w:noWrap/>
            <w:tcMar>
              <w:top w:w="15" w:type="dxa"/>
              <w:left w:w="0" w:type="dxa"/>
              <w:bottom w:w="0" w:type="dxa"/>
              <w:right w:w="15" w:type="dxa"/>
            </w:tcMar>
            <w:vAlign w:val="bottom"/>
          </w:tcPr>
          <w:p w14:paraId="3BF75AE4" w14:textId="77777777" w:rsidR="009A5AEC" w:rsidRDefault="00000000">
            <w:pPr>
              <w:pStyle w:val="Normal0"/>
              <w:rPr>
                <w:color w:val="000000"/>
                <w:sz w:val="20"/>
              </w:rPr>
            </w:pPr>
            <w:r>
              <w:rPr>
                <w:color w:val="000000"/>
                <w:sz w:val="20"/>
              </w:rPr>
              <w:t xml:space="preserve"> </w:t>
            </w:r>
          </w:p>
        </w:tc>
        <w:tc>
          <w:tcPr>
            <w:tcW w:w="88" w:type="pct"/>
            <w:shd w:val="clear" w:color="auto" w:fill="FFFFFF"/>
            <w:tcMar>
              <w:top w:w="15" w:type="dxa"/>
              <w:left w:w="0" w:type="dxa"/>
              <w:bottom w:w="0" w:type="dxa"/>
              <w:right w:w="15" w:type="dxa"/>
            </w:tcMar>
            <w:vAlign w:val="bottom"/>
          </w:tcPr>
          <w:p w14:paraId="1B66B326"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4DF375DF" w14:textId="77777777" w:rsidR="009A5AEC" w:rsidRDefault="00000000">
            <w:pPr>
              <w:pStyle w:val="Normal0"/>
              <w:rPr>
                <w:color w:val="000000"/>
                <w:sz w:val="20"/>
              </w:rPr>
            </w:pPr>
            <w:r>
              <w:rPr>
                <w:color w:val="000000"/>
                <w:sz w:val="20"/>
              </w:rPr>
              <w:t xml:space="preserve"> </w:t>
            </w:r>
          </w:p>
        </w:tc>
        <w:tc>
          <w:tcPr>
            <w:tcW w:w="611" w:type="pct"/>
            <w:shd w:val="clear" w:color="auto" w:fill="FFFFFF"/>
            <w:noWrap/>
            <w:tcMar>
              <w:top w:w="15" w:type="dxa"/>
              <w:left w:w="0" w:type="dxa"/>
              <w:bottom w:w="0" w:type="dxa"/>
              <w:right w:w="15" w:type="dxa"/>
            </w:tcMar>
            <w:vAlign w:val="bottom"/>
          </w:tcPr>
          <w:p w14:paraId="0FFDC747" w14:textId="77777777" w:rsidR="009A5AEC" w:rsidRDefault="00000000">
            <w:pPr>
              <w:pStyle w:val="Normal0"/>
              <w:jc w:val="right"/>
              <w:rPr>
                <w:color w:val="000000"/>
                <w:sz w:val="20"/>
              </w:rPr>
            </w:pPr>
            <w:r>
              <w:rPr>
                <w:color w:val="000000"/>
                <w:sz w:val="20"/>
              </w:rPr>
              <w:t>3,383</w:t>
            </w:r>
          </w:p>
        </w:tc>
        <w:tc>
          <w:tcPr>
            <w:tcW w:w="50" w:type="pct"/>
            <w:shd w:val="clear" w:color="auto" w:fill="FFFFFF"/>
            <w:noWrap/>
            <w:tcMar>
              <w:top w:w="15" w:type="dxa"/>
              <w:left w:w="0" w:type="dxa"/>
              <w:bottom w:w="0" w:type="dxa"/>
              <w:right w:w="15" w:type="dxa"/>
            </w:tcMar>
            <w:vAlign w:val="bottom"/>
          </w:tcPr>
          <w:p w14:paraId="15D2AB6A" w14:textId="77777777" w:rsidR="009A5AEC" w:rsidRDefault="00000000">
            <w:pPr>
              <w:pStyle w:val="Normal0"/>
              <w:rPr>
                <w:color w:val="000000"/>
                <w:sz w:val="20"/>
              </w:rPr>
            </w:pPr>
            <w:r>
              <w:rPr>
                <w:color w:val="000000"/>
                <w:sz w:val="20"/>
              </w:rPr>
              <w:t xml:space="preserve"> </w:t>
            </w:r>
          </w:p>
        </w:tc>
      </w:tr>
      <w:tr w:rsidR="003116D1" w14:paraId="4883B0E0" w14:textId="77777777">
        <w:trPr>
          <w:cantSplit/>
          <w:jc w:val="center"/>
        </w:trPr>
        <w:tc>
          <w:tcPr>
            <w:tcW w:w="3400" w:type="pct"/>
            <w:shd w:val="clear" w:color="auto" w:fill="FFFFFF"/>
            <w:tcMar>
              <w:top w:w="15" w:type="dxa"/>
              <w:left w:w="0" w:type="dxa"/>
              <w:bottom w:w="0" w:type="dxa"/>
              <w:right w:w="15" w:type="dxa"/>
            </w:tcMar>
            <w:vAlign w:val="bottom"/>
          </w:tcPr>
          <w:p w14:paraId="720C5CB5" w14:textId="77777777" w:rsidR="009A5AEC" w:rsidRDefault="00000000">
            <w:pPr>
              <w:pStyle w:val="Normal0"/>
              <w:keepNext/>
              <w:ind w:left="137"/>
              <w:rPr>
                <w:color w:val="000000"/>
                <w:sz w:val="20"/>
              </w:rPr>
            </w:pPr>
            <w:r>
              <w:rPr>
                <w:color w:val="000000"/>
                <w:sz w:val="20"/>
              </w:rPr>
              <w:t xml:space="preserve"> Right-of-use lease assets</w:t>
            </w:r>
          </w:p>
        </w:tc>
        <w:tc>
          <w:tcPr>
            <w:tcW w:w="88" w:type="pct"/>
            <w:shd w:val="clear" w:color="auto" w:fill="FFFFFF"/>
            <w:tcMar>
              <w:top w:w="15" w:type="dxa"/>
              <w:left w:w="0" w:type="dxa"/>
              <w:bottom w:w="0" w:type="dxa"/>
              <w:right w:w="15" w:type="dxa"/>
            </w:tcMar>
            <w:vAlign w:val="bottom"/>
          </w:tcPr>
          <w:p w14:paraId="5F4D87AF"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3C5B2F33" w14:textId="77777777" w:rsidR="009A5AEC" w:rsidRDefault="00000000">
            <w:pPr>
              <w:pStyle w:val="Normal0"/>
              <w:rPr>
                <w:color w:val="000000"/>
                <w:sz w:val="20"/>
              </w:rPr>
            </w:pPr>
            <w:r>
              <w:rPr>
                <w:color w:val="000000"/>
                <w:sz w:val="20"/>
              </w:rPr>
              <w:t xml:space="preserve"> </w:t>
            </w:r>
          </w:p>
        </w:tc>
        <w:tc>
          <w:tcPr>
            <w:tcW w:w="611" w:type="pct"/>
            <w:shd w:val="clear" w:color="auto" w:fill="FFFFFF"/>
            <w:noWrap/>
            <w:tcMar>
              <w:top w:w="15" w:type="dxa"/>
              <w:left w:w="0" w:type="dxa"/>
              <w:bottom w:w="0" w:type="dxa"/>
              <w:right w:w="15" w:type="dxa"/>
            </w:tcMar>
            <w:vAlign w:val="bottom"/>
          </w:tcPr>
          <w:p w14:paraId="112E7D37" w14:textId="77777777" w:rsidR="009A5AEC" w:rsidRDefault="00000000">
            <w:pPr>
              <w:pStyle w:val="Normal0"/>
              <w:jc w:val="right"/>
              <w:rPr>
                <w:color w:val="000000"/>
                <w:sz w:val="20"/>
              </w:rPr>
            </w:pPr>
            <w:r>
              <w:rPr>
                <w:color w:val="000000"/>
                <w:sz w:val="20"/>
              </w:rPr>
              <w:t>290</w:t>
            </w:r>
          </w:p>
        </w:tc>
        <w:tc>
          <w:tcPr>
            <w:tcW w:w="50" w:type="pct"/>
            <w:shd w:val="clear" w:color="auto" w:fill="FFFFFF"/>
            <w:noWrap/>
            <w:tcMar>
              <w:top w:w="15" w:type="dxa"/>
              <w:left w:w="0" w:type="dxa"/>
              <w:bottom w:w="0" w:type="dxa"/>
              <w:right w:w="15" w:type="dxa"/>
            </w:tcMar>
            <w:vAlign w:val="bottom"/>
          </w:tcPr>
          <w:p w14:paraId="3F86579C" w14:textId="77777777" w:rsidR="009A5AEC" w:rsidRDefault="00000000">
            <w:pPr>
              <w:pStyle w:val="Normal0"/>
              <w:rPr>
                <w:color w:val="000000"/>
                <w:sz w:val="20"/>
              </w:rPr>
            </w:pPr>
            <w:r>
              <w:rPr>
                <w:color w:val="000000"/>
                <w:sz w:val="20"/>
              </w:rPr>
              <w:t xml:space="preserve"> </w:t>
            </w:r>
          </w:p>
        </w:tc>
        <w:tc>
          <w:tcPr>
            <w:tcW w:w="88" w:type="pct"/>
            <w:shd w:val="clear" w:color="auto" w:fill="FFFFFF"/>
            <w:tcMar>
              <w:top w:w="15" w:type="dxa"/>
              <w:left w:w="0" w:type="dxa"/>
              <w:bottom w:w="0" w:type="dxa"/>
              <w:right w:w="15" w:type="dxa"/>
            </w:tcMar>
            <w:vAlign w:val="bottom"/>
          </w:tcPr>
          <w:p w14:paraId="1FDBD118"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4EF13BE4" w14:textId="77777777" w:rsidR="009A5AEC" w:rsidRDefault="00000000">
            <w:pPr>
              <w:pStyle w:val="Normal0"/>
              <w:rPr>
                <w:color w:val="000000"/>
                <w:sz w:val="20"/>
              </w:rPr>
            </w:pPr>
            <w:r>
              <w:rPr>
                <w:color w:val="000000"/>
                <w:sz w:val="20"/>
              </w:rPr>
              <w:t xml:space="preserve"> </w:t>
            </w:r>
          </w:p>
        </w:tc>
        <w:tc>
          <w:tcPr>
            <w:tcW w:w="611" w:type="pct"/>
            <w:shd w:val="clear" w:color="auto" w:fill="FFFFFF"/>
            <w:noWrap/>
            <w:tcMar>
              <w:top w:w="15" w:type="dxa"/>
              <w:left w:w="0" w:type="dxa"/>
              <w:bottom w:w="0" w:type="dxa"/>
              <w:right w:w="15" w:type="dxa"/>
            </w:tcMar>
            <w:vAlign w:val="bottom"/>
          </w:tcPr>
          <w:p w14:paraId="1793802F" w14:textId="77777777" w:rsidR="009A5AEC" w:rsidRDefault="00000000">
            <w:pPr>
              <w:pStyle w:val="Normal0"/>
              <w:jc w:val="right"/>
              <w:rPr>
                <w:color w:val="000000"/>
                <w:sz w:val="20"/>
              </w:rPr>
            </w:pPr>
            <w:r>
              <w:rPr>
                <w:color w:val="000000"/>
                <w:sz w:val="20"/>
              </w:rPr>
              <w:t>396</w:t>
            </w:r>
          </w:p>
        </w:tc>
        <w:tc>
          <w:tcPr>
            <w:tcW w:w="50" w:type="pct"/>
            <w:shd w:val="clear" w:color="auto" w:fill="FFFFFF"/>
            <w:noWrap/>
            <w:tcMar>
              <w:top w:w="15" w:type="dxa"/>
              <w:left w:w="0" w:type="dxa"/>
              <w:bottom w:w="0" w:type="dxa"/>
              <w:right w:w="15" w:type="dxa"/>
            </w:tcMar>
            <w:vAlign w:val="bottom"/>
          </w:tcPr>
          <w:p w14:paraId="10A94333" w14:textId="77777777" w:rsidR="009A5AEC" w:rsidRDefault="00000000">
            <w:pPr>
              <w:pStyle w:val="Normal0"/>
              <w:rPr>
                <w:color w:val="000000"/>
                <w:sz w:val="20"/>
              </w:rPr>
            </w:pPr>
            <w:r>
              <w:rPr>
                <w:color w:val="000000"/>
                <w:sz w:val="20"/>
              </w:rPr>
              <w:t xml:space="preserve"> </w:t>
            </w:r>
          </w:p>
        </w:tc>
      </w:tr>
      <w:tr w:rsidR="003116D1" w14:paraId="2D925FFD" w14:textId="77777777">
        <w:trPr>
          <w:cantSplit/>
          <w:jc w:val="center"/>
        </w:trPr>
        <w:tc>
          <w:tcPr>
            <w:tcW w:w="3400" w:type="pct"/>
            <w:shd w:val="clear" w:color="auto" w:fill="FFFFFF"/>
            <w:tcMar>
              <w:top w:w="15" w:type="dxa"/>
              <w:left w:w="0" w:type="dxa"/>
              <w:bottom w:w="0" w:type="dxa"/>
              <w:right w:w="15" w:type="dxa"/>
            </w:tcMar>
            <w:vAlign w:val="bottom"/>
          </w:tcPr>
          <w:p w14:paraId="7F2567CC" w14:textId="77777777" w:rsidR="009A5AEC" w:rsidRDefault="00000000">
            <w:pPr>
              <w:pStyle w:val="Normal0"/>
              <w:keepNext/>
              <w:ind w:left="137"/>
              <w:rPr>
                <w:color w:val="000000"/>
                <w:sz w:val="20"/>
              </w:rPr>
            </w:pPr>
            <w:r>
              <w:rPr>
                <w:color w:val="000000"/>
                <w:sz w:val="20"/>
              </w:rPr>
              <w:t xml:space="preserve"> Intangible assets, net</w:t>
            </w:r>
          </w:p>
        </w:tc>
        <w:tc>
          <w:tcPr>
            <w:tcW w:w="88" w:type="pct"/>
            <w:shd w:val="clear" w:color="auto" w:fill="FFFFFF"/>
            <w:tcMar>
              <w:top w:w="15" w:type="dxa"/>
              <w:left w:w="0" w:type="dxa"/>
              <w:bottom w:w="0" w:type="dxa"/>
              <w:right w:w="15" w:type="dxa"/>
            </w:tcMar>
            <w:vAlign w:val="bottom"/>
          </w:tcPr>
          <w:p w14:paraId="590C08ED"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3DBF43D7" w14:textId="77777777" w:rsidR="009A5AEC" w:rsidRDefault="00000000">
            <w:pPr>
              <w:pStyle w:val="Normal0"/>
              <w:rPr>
                <w:color w:val="000000"/>
                <w:sz w:val="20"/>
              </w:rPr>
            </w:pPr>
            <w:r>
              <w:rPr>
                <w:color w:val="000000"/>
                <w:sz w:val="20"/>
              </w:rPr>
              <w:t xml:space="preserve"> </w:t>
            </w:r>
          </w:p>
        </w:tc>
        <w:tc>
          <w:tcPr>
            <w:tcW w:w="611" w:type="pct"/>
            <w:shd w:val="clear" w:color="auto" w:fill="FFFFFF"/>
            <w:noWrap/>
            <w:tcMar>
              <w:top w:w="15" w:type="dxa"/>
              <w:left w:w="0" w:type="dxa"/>
              <w:bottom w:w="0" w:type="dxa"/>
              <w:right w:w="15" w:type="dxa"/>
            </w:tcMar>
            <w:vAlign w:val="bottom"/>
          </w:tcPr>
          <w:p w14:paraId="6D9A5D7A" w14:textId="77777777" w:rsidR="009A5AEC" w:rsidRDefault="00000000">
            <w:pPr>
              <w:pStyle w:val="Normal0"/>
              <w:jc w:val="right"/>
              <w:rPr>
                <w:color w:val="000000"/>
                <w:sz w:val="20"/>
              </w:rPr>
            </w:pPr>
            <w:r>
              <w:rPr>
                <w:color w:val="000000"/>
                <w:sz w:val="20"/>
              </w:rPr>
              <w:t>196</w:t>
            </w:r>
          </w:p>
        </w:tc>
        <w:tc>
          <w:tcPr>
            <w:tcW w:w="50" w:type="pct"/>
            <w:shd w:val="clear" w:color="auto" w:fill="FFFFFF"/>
            <w:noWrap/>
            <w:tcMar>
              <w:top w:w="15" w:type="dxa"/>
              <w:left w:w="0" w:type="dxa"/>
              <w:bottom w:w="0" w:type="dxa"/>
              <w:right w:w="15" w:type="dxa"/>
            </w:tcMar>
            <w:vAlign w:val="bottom"/>
          </w:tcPr>
          <w:p w14:paraId="5601115F" w14:textId="77777777" w:rsidR="009A5AEC" w:rsidRDefault="00000000">
            <w:pPr>
              <w:pStyle w:val="Normal0"/>
              <w:rPr>
                <w:color w:val="000000"/>
                <w:sz w:val="20"/>
              </w:rPr>
            </w:pPr>
            <w:r>
              <w:rPr>
                <w:color w:val="000000"/>
                <w:sz w:val="20"/>
              </w:rPr>
              <w:t xml:space="preserve"> </w:t>
            </w:r>
          </w:p>
        </w:tc>
        <w:tc>
          <w:tcPr>
            <w:tcW w:w="88" w:type="pct"/>
            <w:shd w:val="clear" w:color="auto" w:fill="FFFFFF"/>
            <w:tcMar>
              <w:top w:w="15" w:type="dxa"/>
              <w:left w:w="0" w:type="dxa"/>
              <w:bottom w:w="0" w:type="dxa"/>
              <w:right w:w="15" w:type="dxa"/>
            </w:tcMar>
            <w:vAlign w:val="bottom"/>
          </w:tcPr>
          <w:p w14:paraId="020453B0"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7B0B492C" w14:textId="77777777" w:rsidR="009A5AEC" w:rsidRDefault="00000000">
            <w:pPr>
              <w:pStyle w:val="Normal0"/>
              <w:rPr>
                <w:color w:val="000000"/>
                <w:sz w:val="20"/>
              </w:rPr>
            </w:pPr>
            <w:r>
              <w:rPr>
                <w:color w:val="000000"/>
                <w:sz w:val="20"/>
              </w:rPr>
              <w:t xml:space="preserve"> </w:t>
            </w:r>
          </w:p>
        </w:tc>
        <w:tc>
          <w:tcPr>
            <w:tcW w:w="611" w:type="pct"/>
            <w:shd w:val="clear" w:color="auto" w:fill="FFFFFF"/>
            <w:noWrap/>
            <w:tcMar>
              <w:top w:w="15" w:type="dxa"/>
              <w:left w:w="0" w:type="dxa"/>
              <w:bottom w:w="0" w:type="dxa"/>
              <w:right w:w="15" w:type="dxa"/>
            </w:tcMar>
            <w:vAlign w:val="bottom"/>
          </w:tcPr>
          <w:p w14:paraId="7B030CB4" w14:textId="77777777" w:rsidR="009A5AEC" w:rsidRDefault="00000000">
            <w:pPr>
              <w:pStyle w:val="Normal0"/>
              <w:jc w:val="right"/>
              <w:rPr>
                <w:color w:val="000000"/>
                <w:sz w:val="20"/>
              </w:rPr>
            </w:pPr>
            <w:r>
              <w:rPr>
                <w:color w:val="000000"/>
                <w:sz w:val="20"/>
              </w:rPr>
              <w:t>252</w:t>
            </w:r>
          </w:p>
        </w:tc>
        <w:tc>
          <w:tcPr>
            <w:tcW w:w="50" w:type="pct"/>
            <w:shd w:val="clear" w:color="auto" w:fill="FFFFFF"/>
            <w:noWrap/>
            <w:tcMar>
              <w:top w:w="15" w:type="dxa"/>
              <w:left w:w="0" w:type="dxa"/>
              <w:bottom w:w="0" w:type="dxa"/>
              <w:right w:w="15" w:type="dxa"/>
            </w:tcMar>
            <w:vAlign w:val="bottom"/>
          </w:tcPr>
          <w:p w14:paraId="3F0B3F90" w14:textId="77777777" w:rsidR="009A5AEC" w:rsidRDefault="00000000">
            <w:pPr>
              <w:pStyle w:val="Normal0"/>
              <w:rPr>
                <w:color w:val="000000"/>
                <w:sz w:val="20"/>
              </w:rPr>
            </w:pPr>
            <w:r>
              <w:rPr>
                <w:color w:val="000000"/>
                <w:sz w:val="20"/>
              </w:rPr>
              <w:t xml:space="preserve"> </w:t>
            </w:r>
          </w:p>
        </w:tc>
      </w:tr>
      <w:tr w:rsidR="003116D1" w14:paraId="2F1A43D5" w14:textId="77777777">
        <w:trPr>
          <w:cantSplit/>
          <w:jc w:val="center"/>
        </w:trPr>
        <w:tc>
          <w:tcPr>
            <w:tcW w:w="3400" w:type="pct"/>
            <w:shd w:val="clear" w:color="auto" w:fill="FFFFFF"/>
            <w:tcMar>
              <w:top w:w="15" w:type="dxa"/>
              <w:left w:w="0" w:type="dxa"/>
              <w:bottom w:w="0" w:type="dxa"/>
              <w:right w:w="15" w:type="dxa"/>
            </w:tcMar>
            <w:vAlign w:val="bottom"/>
          </w:tcPr>
          <w:p w14:paraId="63793D3B" w14:textId="77777777" w:rsidR="009A5AEC" w:rsidRDefault="00000000">
            <w:pPr>
              <w:pStyle w:val="Normal0"/>
              <w:keepNext/>
              <w:ind w:left="137"/>
              <w:rPr>
                <w:color w:val="000000"/>
                <w:sz w:val="20"/>
              </w:rPr>
            </w:pPr>
            <w:r>
              <w:rPr>
                <w:color w:val="000000"/>
                <w:sz w:val="20"/>
              </w:rPr>
              <w:t xml:space="preserve"> Deferred income tax assets</w:t>
            </w:r>
          </w:p>
        </w:tc>
        <w:tc>
          <w:tcPr>
            <w:tcW w:w="88" w:type="pct"/>
            <w:shd w:val="clear" w:color="auto" w:fill="FFFFFF"/>
            <w:tcMar>
              <w:top w:w="15" w:type="dxa"/>
              <w:left w:w="0" w:type="dxa"/>
              <w:bottom w:w="0" w:type="dxa"/>
              <w:right w:w="15" w:type="dxa"/>
            </w:tcMar>
            <w:vAlign w:val="bottom"/>
          </w:tcPr>
          <w:p w14:paraId="3D2EF5D9"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4D9A5182" w14:textId="77777777" w:rsidR="009A5AEC" w:rsidRDefault="00000000">
            <w:pPr>
              <w:pStyle w:val="Normal0"/>
              <w:rPr>
                <w:color w:val="000000"/>
                <w:sz w:val="20"/>
              </w:rPr>
            </w:pPr>
            <w:r>
              <w:rPr>
                <w:color w:val="000000"/>
                <w:sz w:val="20"/>
              </w:rPr>
              <w:t xml:space="preserve"> </w:t>
            </w:r>
          </w:p>
        </w:tc>
        <w:tc>
          <w:tcPr>
            <w:tcW w:w="611" w:type="pct"/>
            <w:shd w:val="clear" w:color="auto" w:fill="FFFFFF"/>
            <w:noWrap/>
            <w:tcMar>
              <w:top w:w="15" w:type="dxa"/>
              <w:left w:w="0" w:type="dxa"/>
              <w:bottom w:w="0" w:type="dxa"/>
              <w:right w:w="15" w:type="dxa"/>
            </w:tcMar>
            <w:vAlign w:val="bottom"/>
          </w:tcPr>
          <w:p w14:paraId="3435D39A" w14:textId="77777777" w:rsidR="009A5AEC" w:rsidRDefault="00000000">
            <w:pPr>
              <w:pStyle w:val="Normal0"/>
              <w:jc w:val="right"/>
              <w:rPr>
                <w:color w:val="000000"/>
                <w:sz w:val="20"/>
              </w:rPr>
            </w:pPr>
            <w:r>
              <w:rPr>
                <w:color w:val="000000"/>
                <w:sz w:val="20"/>
              </w:rPr>
              <w:t>1,056</w:t>
            </w:r>
          </w:p>
        </w:tc>
        <w:tc>
          <w:tcPr>
            <w:tcW w:w="50" w:type="pct"/>
            <w:shd w:val="clear" w:color="auto" w:fill="FFFFFF"/>
            <w:noWrap/>
            <w:tcMar>
              <w:top w:w="15" w:type="dxa"/>
              <w:left w:w="0" w:type="dxa"/>
              <w:bottom w:w="0" w:type="dxa"/>
              <w:right w:w="15" w:type="dxa"/>
            </w:tcMar>
            <w:vAlign w:val="bottom"/>
          </w:tcPr>
          <w:p w14:paraId="10037997" w14:textId="77777777" w:rsidR="009A5AEC" w:rsidRDefault="00000000">
            <w:pPr>
              <w:pStyle w:val="Normal0"/>
              <w:rPr>
                <w:color w:val="000000"/>
                <w:sz w:val="20"/>
              </w:rPr>
            </w:pPr>
            <w:r>
              <w:rPr>
                <w:color w:val="000000"/>
                <w:sz w:val="20"/>
              </w:rPr>
              <w:t xml:space="preserve"> </w:t>
            </w:r>
          </w:p>
        </w:tc>
        <w:tc>
          <w:tcPr>
            <w:tcW w:w="88" w:type="pct"/>
            <w:shd w:val="clear" w:color="auto" w:fill="FFFFFF"/>
            <w:tcMar>
              <w:top w:w="15" w:type="dxa"/>
              <w:left w:w="0" w:type="dxa"/>
              <w:bottom w:w="0" w:type="dxa"/>
              <w:right w:w="15" w:type="dxa"/>
            </w:tcMar>
            <w:vAlign w:val="bottom"/>
          </w:tcPr>
          <w:p w14:paraId="705C43A2"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1E9B9D62" w14:textId="77777777" w:rsidR="009A5AEC" w:rsidRDefault="00000000">
            <w:pPr>
              <w:pStyle w:val="Normal0"/>
              <w:rPr>
                <w:color w:val="000000"/>
                <w:sz w:val="20"/>
              </w:rPr>
            </w:pPr>
            <w:r>
              <w:rPr>
                <w:color w:val="000000"/>
                <w:sz w:val="20"/>
              </w:rPr>
              <w:t xml:space="preserve"> </w:t>
            </w:r>
          </w:p>
        </w:tc>
        <w:tc>
          <w:tcPr>
            <w:tcW w:w="611" w:type="pct"/>
            <w:shd w:val="clear" w:color="auto" w:fill="FFFFFF"/>
            <w:noWrap/>
            <w:tcMar>
              <w:top w:w="15" w:type="dxa"/>
              <w:left w:w="0" w:type="dxa"/>
              <w:bottom w:w="0" w:type="dxa"/>
              <w:right w:w="15" w:type="dxa"/>
            </w:tcMar>
            <w:vAlign w:val="bottom"/>
          </w:tcPr>
          <w:p w14:paraId="52F17212" w14:textId="77777777" w:rsidR="009A5AEC" w:rsidRDefault="00000000">
            <w:pPr>
              <w:pStyle w:val="Normal0"/>
              <w:jc w:val="right"/>
              <w:rPr>
                <w:color w:val="000000"/>
                <w:sz w:val="20"/>
              </w:rPr>
            </w:pPr>
            <w:r>
              <w:rPr>
                <w:color w:val="000000"/>
                <w:sz w:val="20"/>
              </w:rPr>
              <w:t>34</w:t>
            </w:r>
          </w:p>
        </w:tc>
        <w:tc>
          <w:tcPr>
            <w:tcW w:w="50" w:type="pct"/>
            <w:shd w:val="clear" w:color="auto" w:fill="FFFFFF"/>
            <w:noWrap/>
            <w:tcMar>
              <w:top w:w="15" w:type="dxa"/>
              <w:left w:w="0" w:type="dxa"/>
              <w:bottom w:w="0" w:type="dxa"/>
              <w:right w:w="15" w:type="dxa"/>
            </w:tcMar>
            <w:vAlign w:val="bottom"/>
          </w:tcPr>
          <w:p w14:paraId="13B20298" w14:textId="77777777" w:rsidR="009A5AEC" w:rsidRDefault="00000000">
            <w:pPr>
              <w:pStyle w:val="Normal0"/>
              <w:rPr>
                <w:color w:val="000000"/>
                <w:sz w:val="20"/>
              </w:rPr>
            </w:pPr>
            <w:r>
              <w:rPr>
                <w:color w:val="000000"/>
                <w:sz w:val="20"/>
              </w:rPr>
              <w:t xml:space="preserve"> </w:t>
            </w:r>
          </w:p>
        </w:tc>
      </w:tr>
      <w:tr w:rsidR="003116D1" w14:paraId="08074823" w14:textId="77777777">
        <w:trPr>
          <w:cantSplit/>
          <w:jc w:val="center"/>
        </w:trPr>
        <w:tc>
          <w:tcPr>
            <w:tcW w:w="3400" w:type="pct"/>
            <w:shd w:val="clear" w:color="auto" w:fill="FFFFFF"/>
            <w:tcMar>
              <w:top w:w="15" w:type="dxa"/>
              <w:left w:w="0" w:type="dxa"/>
              <w:bottom w:w="0" w:type="dxa"/>
              <w:right w:w="15" w:type="dxa"/>
            </w:tcMar>
            <w:vAlign w:val="bottom"/>
          </w:tcPr>
          <w:p w14:paraId="1DA90837" w14:textId="77777777" w:rsidR="009A5AEC" w:rsidRDefault="00000000">
            <w:pPr>
              <w:pStyle w:val="Normal0"/>
              <w:keepNext/>
              <w:ind w:left="137"/>
              <w:rPr>
                <w:color w:val="000000"/>
                <w:sz w:val="20"/>
              </w:rPr>
            </w:pPr>
            <w:r>
              <w:rPr>
                <w:color w:val="000000"/>
                <w:sz w:val="20"/>
              </w:rPr>
              <w:t xml:space="preserve"> Other assets</w:t>
            </w:r>
          </w:p>
        </w:tc>
        <w:tc>
          <w:tcPr>
            <w:tcW w:w="88" w:type="pct"/>
            <w:shd w:val="clear" w:color="auto" w:fill="FFFFFF"/>
            <w:tcMar>
              <w:top w:w="15" w:type="dxa"/>
              <w:left w:w="0" w:type="dxa"/>
              <w:bottom w:w="0" w:type="dxa"/>
              <w:right w:w="15" w:type="dxa"/>
            </w:tcMar>
            <w:vAlign w:val="bottom"/>
          </w:tcPr>
          <w:p w14:paraId="78ACE48B"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1BC89C0A" w14:textId="77777777" w:rsidR="009A5AEC" w:rsidRDefault="00000000">
            <w:pPr>
              <w:pStyle w:val="Normal0"/>
              <w:rPr>
                <w:color w:val="000000"/>
                <w:sz w:val="20"/>
              </w:rPr>
            </w:pPr>
            <w:r>
              <w:rPr>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7A16E2B4" w14:textId="77777777" w:rsidR="009A5AEC" w:rsidRDefault="00000000">
            <w:pPr>
              <w:pStyle w:val="Normal0"/>
              <w:jc w:val="right"/>
              <w:rPr>
                <w:color w:val="000000"/>
                <w:sz w:val="20"/>
              </w:rPr>
            </w:pPr>
            <w:r>
              <w:rPr>
                <w:color w:val="000000"/>
                <w:sz w:val="20"/>
              </w:rPr>
              <w:t>18</w:t>
            </w:r>
          </w:p>
        </w:tc>
        <w:tc>
          <w:tcPr>
            <w:tcW w:w="50" w:type="pct"/>
            <w:shd w:val="clear" w:color="auto" w:fill="FFFFFF"/>
            <w:noWrap/>
            <w:tcMar>
              <w:top w:w="15" w:type="dxa"/>
              <w:left w:w="0" w:type="dxa"/>
              <w:bottom w:w="0" w:type="dxa"/>
              <w:right w:w="15" w:type="dxa"/>
            </w:tcMar>
            <w:vAlign w:val="bottom"/>
          </w:tcPr>
          <w:p w14:paraId="5B0400A2" w14:textId="77777777" w:rsidR="009A5AEC" w:rsidRDefault="00000000">
            <w:pPr>
              <w:pStyle w:val="Normal0"/>
              <w:rPr>
                <w:color w:val="000000"/>
                <w:sz w:val="20"/>
              </w:rPr>
            </w:pPr>
            <w:r>
              <w:rPr>
                <w:color w:val="000000"/>
                <w:sz w:val="20"/>
              </w:rPr>
              <w:t xml:space="preserve"> </w:t>
            </w:r>
          </w:p>
        </w:tc>
        <w:tc>
          <w:tcPr>
            <w:tcW w:w="88" w:type="pct"/>
            <w:shd w:val="clear" w:color="auto" w:fill="FFFFFF"/>
            <w:tcMar>
              <w:top w:w="15" w:type="dxa"/>
              <w:left w:w="0" w:type="dxa"/>
              <w:bottom w:w="0" w:type="dxa"/>
              <w:right w:w="15" w:type="dxa"/>
            </w:tcMar>
            <w:vAlign w:val="bottom"/>
          </w:tcPr>
          <w:p w14:paraId="439940C3"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6956409E" w14:textId="77777777" w:rsidR="009A5AEC" w:rsidRDefault="00000000">
            <w:pPr>
              <w:pStyle w:val="Normal0"/>
              <w:rPr>
                <w:color w:val="000000"/>
                <w:sz w:val="20"/>
              </w:rPr>
            </w:pPr>
            <w:r>
              <w:rPr>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2CF9EE0D" w14:textId="77777777" w:rsidR="009A5AEC" w:rsidRDefault="00000000">
            <w:pPr>
              <w:pStyle w:val="Normal0"/>
              <w:jc w:val="right"/>
              <w:rPr>
                <w:color w:val="000000"/>
                <w:sz w:val="20"/>
              </w:rPr>
            </w:pPr>
            <w:r>
              <w:rPr>
                <w:color w:val="000000"/>
                <w:sz w:val="20"/>
              </w:rPr>
              <w:t>5</w:t>
            </w:r>
          </w:p>
        </w:tc>
        <w:tc>
          <w:tcPr>
            <w:tcW w:w="50" w:type="pct"/>
            <w:shd w:val="clear" w:color="auto" w:fill="FFFFFF"/>
            <w:noWrap/>
            <w:tcMar>
              <w:top w:w="15" w:type="dxa"/>
              <w:left w:w="0" w:type="dxa"/>
              <w:bottom w:w="0" w:type="dxa"/>
              <w:right w:w="15" w:type="dxa"/>
            </w:tcMar>
            <w:vAlign w:val="bottom"/>
          </w:tcPr>
          <w:p w14:paraId="0B2E3DD8" w14:textId="77777777" w:rsidR="009A5AEC" w:rsidRDefault="00000000">
            <w:pPr>
              <w:pStyle w:val="Normal0"/>
              <w:rPr>
                <w:color w:val="000000"/>
                <w:sz w:val="20"/>
              </w:rPr>
            </w:pPr>
            <w:r>
              <w:rPr>
                <w:color w:val="000000"/>
                <w:sz w:val="20"/>
              </w:rPr>
              <w:t xml:space="preserve"> </w:t>
            </w:r>
          </w:p>
        </w:tc>
      </w:tr>
      <w:tr w:rsidR="003116D1" w14:paraId="758B5F2C" w14:textId="77777777">
        <w:trPr>
          <w:cantSplit/>
          <w:jc w:val="center"/>
        </w:trPr>
        <w:tc>
          <w:tcPr>
            <w:tcW w:w="3400" w:type="pct"/>
            <w:shd w:val="clear" w:color="auto" w:fill="FFFFFF"/>
            <w:tcMar>
              <w:top w:w="15" w:type="dxa"/>
              <w:left w:w="0" w:type="dxa"/>
              <w:bottom w:w="0" w:type="dxa"/>
              <w:right w:w="15" w:type="dxa"/>
            </w:tcMar>
            <w:vAlign w:val="bottom"/>
          </w:tcPr>
          <w:p w14:paraId="1A6710D4" w14:textId="77777777" w:rsidR="009A5AEC" w:rsidRDefault="00000000">
            <w:pPr>
              <w:pStyle w:val="Normal0"/>
              <w:keepNext/>
              <w:ind w:left="274"/>
              <w:rPr>
                <w:color w:val="000000"/>
                <w:sz w:val="20"/>
              </w:rPr>
            </w:pPr>
            <w:r>
              <w:rPr>
                <w:color w:val="000000"/>
                <w:sz w:val="20"/>
              </w:rPr>
              <w:t xml:space="preserve"> Total Assets</w:t>
            </w:r>
          </w:p>
        </w:tc>
        <w:tc>
          <w:tcPr>
            <w:tcW w:w="88" w:type="pct"/>
            <w:shd w:val="clear" w:color="auto" w:fill="FFFFFF"/>
            <w:tcMar>
              <w:top w:w="15" w:type="dxa"/>
              <w:left w:w="0" w:type="dxa"/>
              <w:bottom w:w="0" w:type="dxa"/>
              <w:right w:w="15" w:type="dxa"/>
            </w:tcMar>
            <w:vAlign w:val="bottom"/>
          </w:tcPr>
          <w:p w14:paraId="7EFD4BA3"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564B9603" w14:textId="77777777" w:rsidR="009A5AEC" w:rsidRDefault="00000000">
            <w:pPr>
              <w:pStyle w:val="Normal0"/>
              <w:rPr>
                <w:color w:val="000000"/>
                <w:sz w:val="20"/>
              </w:rPr>
            </w:pPr>
            <w:r>
              <w:rPr>
                <w:color w:val="000000"/>
                <w:sz w:val="20"/>
              </w:rPr>
              <w:t>$</w:t>
            </w:r>
          </w:p>
        </w:tc>
        <w:tc>
          <w:tcPr>
            <w:tcW w:w="611"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2CC6DD36" w14:textId="77777777" w:rsidR="009A5AEC" w:rsidRDefault="00000000">
            <w:pPr>
              <w:pStyle w:val="Normal0"/>
              <w:jc w:val="right"/>
              <w:rPr>
                <w:color w:val="000000"/>
                <w:sz w:val="20"/>
              </w:rPr>
            </w:pPr>
            <w:r>
              <w:rPr>
                <w:color w:val="000000"/>
                <w:sz w:val="20"/>
              </w:rPr>
              <w:t>57,904</w:t>
            </w:r>
          </w:p>
        </w:tc>
        <w:tc>
          <w:tcPr>
            <w:tcW w:w="50" w:type="pct"/>
            <w:shd w:val="clear" w:color="auto" w:fill="FFFFFF"/>
            <w:noWrap/>
            <w:tcMar>
              <w:top w:w="15" w:type="dxa"/>
              <w:left w:w="0" w:type="dxa"/>
              <w:bottom w:w="0" w:type="dxa"/>
              <w:right w:w="15" w:type="dxa"/>
            </w:tcMar>
            <w:vAlign w:val="bottom"/>
          </w:tcPr>
          <w:p w14:paraId="64213E93" w14:textId="77777777" w:rsidR="009A5AEC" w:rsidRDefault="00000000">
            <w:pPr>
              <w:pStyle w:val="Normal0"/>
              <w:rPr>
                <w:color w:val="000000"/>
                <w:sz w:val="20"/>
              </w:rPr>
            </w:pPr>
            <w:r>
              <w:rPr>
                <w:color w:val="000000"/>
                <w:sz w:val="20"/>
              </w:rPr>
              <w:t xml:space="preserve"> </w:t>
            </w:r>
          </w:p>
        </w:tc>
        <w:tc>
          <w:tcPr>
            <w:tcW w:w="88" w:type="pct"/>
            <w:shd w:val="clear" w:color="auto" w:fill="FFFFFF"/>
            <w:tcMar>
              <w:top w:w="15" w:type="dxa"/>
              <w:left w:w="0" w:type="dxa"/>
              <w:bottom w:w="0" w:type="dxa"/>
              <w:right w:w="15" w:type="dxa"/>
            </w:tcMar>
            <w:vAlign w:val="bottom"/>
          </w:tcPr>
          <w:p w14:paraId="6A6A8510"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137F93BA" w14:textId="77777777" w:rsidR="009A5AEC" w:rsidRDefault="00000000">
            <w:pPr>
              <w:pStyle w:val="Normal0"/>
              <w:rPr>
                <w:color w:val="000000"/>
                <w:sz w:val="20"/>
              </w:rPr>
            </w:pPr>
            <w:r>
              <w:rPr>
                <w:color w:val="000000"/>
                <w:sz w:val="20"/>
              </w:rPr>
              <w:t>$</w:t>
            </w:r>
          </w:p>
        </w:tc>
        <w:tc>
          <w:tcPr>
            <w:tcW w:w="611"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2053030A" w14:textId="77777777" w:rsidR="009A5AEC" w:rsidRDefault="00000000">
            <w:pPr>
              <w:pStyle w:val="Normal0"/>
              <w:jc w:val="right"/>
              <w:rPr>
                <w:color w:val="000000"/>
                <w:sz w:val="20"/>
              </w:rPr>
            </w:pPr>
            <w:r>
              <w:rPr>
                <w:color w:val="000000"/>
                <w:sz w:val="20"/>
              </w:rPr>
              <w:t>59,906</w:t>
            </w:r>
          </w:p>
        </w:tc>
        <w:tc>
          <w:tcPr>
            <w:tcW w:w="50" w:type="pct"/>
            <w:shd w:val="clear" w:color="auto" w:fill="FFFFFF"/>
            <w:noWrap/>
            <w:tcMar>
              <w:top w:w="15" w:type="dxa"/>
              <w:left w:w="0" w:type="dxa"/>
              <w:bottom w:w="0" w:type="dxa"/>
              <w:right w:w="15" w:type="dxa"/>
            </w:tcMar>
            <w:vAlign w:val="bottom"/>
          </w:tcPr>
          <w:p w14:paraId="2BA86084" w14:textId="77777777" w:rsidR="009A5AEC" w:rsidRDefault="00000000">
            <w:pPr>
              <w:pStyle w:val="Normal0"/>
              <w:rPr>
                <w:color w:val="000000"/>
                <w:sz w:val="20"/>
              </w:rPr>
            </w:pPr>
            <w:r>
              <w:rPr>
                <w:color w:val="000000"/>
                <w:sz w:val="20"/>
              </w:rPr>
              <w:t xml:space="preserve"> </w:t>
            </w:r>
          </w:p>
        </w:tc>
      </w:tr>
      <w:tr w:rsidR="003116D1" w14:paraId="38FC442F" w14:textId="77777777">
        <w:trPr>
          <w:cantSplit/>
          <w:jc w:val="center"/>
        </w:trPr>
        <w:tc>
          <w:tcPr>
            <w:tcW w:w="3400" w:type="pct"/>
            <w:shd w:val="clear" w:color="auto" w:fill="FFFFFF"/>
            <w:tcMar>
              <w:top w:w="15" w:type="dxa"/>
              <w:left w:w="0" w:type="dxa"/>
              <w:bottom w:w="0" w:type="dxa"/>
              <w:right w:w="15" w:type="dxa"/>
            </w:tcMar>
            <w:vAlign w:val="bottom"/>
          </w:tcPr>
          <w:p w14:paraId="7ECF162A" w14:textId="77777777" w:rsidR="009A5AEC" w:rsidRDefault="00000000">
            <w:pPr>
              <w:pStyle w:val="Normal0"/>
              <w:keepNext/>
              <w:rPr>
                <w:b/>
                <w:color w:val="000000"/>
                <w:sz w:val="20"/>
              </w:rPr>
            </w:pPr>
            <w:r>
              <w:rPr>
                <w:b/>
                <w:color w:val="000000"/>
                <w:sz w:val="20"/>
              </w:rPr>
              <w:t xml:space="preserve"> LIABILITIES AND STOCKHOLDERS' EQUITY</w:t>
            </w:r>
          </w:p>
        </w:tc>
        <w:tc>
          <w:tcPr>
            <w:tcW w:w="88" w:type="pct"/>
            <w:shd w:val="clear" w:color="auto" w:fill="FFFFFF"/>
            <w:tcMar>
              <w:top w:w="15" w:type="dxa"/>
              <w:left w:w="0" w:type="dxa"/>
              <w:bottom w:w="0" w:type="dxa"/>
              <w:right w:w="15" w:type="dxa"/>
            </w:tcMar>
            <w:vAlign w:val="bottom"/>
          </w:tcPr>
          <w:p w14:paraId="69923AC6"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29E59EF7" w14:textId="77777777" w:rsidR="009A5AEC" w:rsidRDefault="00000000">
            <w:pPr>
              <w:pStyle w:val="Normal0"/>
              <w:rPr>
                <w:color w:val="000000"/>
                <w:sz w:val="20"/>
              </w:rPr>
            </w:pPr>
            <w:r>
              <w:rPr>
                <w:color w:val="000000"/>
                <w:sz w:val="20"/>
              </w:rPr>
              <w:t xml:space="preserve"> </w:t>
            </w:r>
          </w:p>
        </w:tc>
        <w:tc>
          <w:tcPr>
            <w:tcW w:w="611" w:type="pct"/>
            <w:tcBorders>
              <w:top w:val="double" w:sz="6" w:space="0" w:color="000000"/>
            </w:tcBorders>
            <w:shd w:val="clear" w:color="auto" w:fill="FFFFFF"/>
            <w:noWrap/>
            <w:tcMar>
              <w:top w:w="15" w:type="dxa"/>
              <w:left w:w="0" w:type="dxa"/>
              <w:bottom w:w="0" w:type="dxa"/>
              <w:right w:w="15" w:type="dxa"/>
            </w:tcMar>
            <w:vAlign w:val="bottom"/>
          </w:tcPr>
          <w:p w14:paraId="691025D2"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2B87DD0E" w14:textId="77777777" w:rsidR="009A5AEC" w:rsidRDefault="00000000">
            <w:pPr>
              <w:pStyle w:val="Normal0"/>
              <w:rPr>
                <w:color w:val="000000"/>
                <w:sz w:val="20"/>
              </w:rPr>
            </w:pPr>
            <w:r>
              <w:rPr>
                <w:color w:val="000000"/>
                <w:sz w:val="20"/>
              </w:rPr>
              <w:t xml:space="preserve"> </w:t>
            </w:r>
          </w:p>
        </w:tc>
        <w:tc>
          <w:tcPr>
            <w:tcW w:w="88" w:type="pct"/>
            <w:shd w:val="clear" w:color="auto" w:fill="FFFFFF"/>
            <w:tcMar>
              <w:top w:w="15" w:type="dxa"/>
              <w:left w:w="0" w:type="dxa"/>
              <w:bottom w:w="0" w:type="dxa"/>
              <w:right w:w="15" w:type="dxa"/>
            </w:tcMar>
            <w:vAlign w:val="bottom"/>
          </w:tcPr>
          <w:p w14:paraId="16382DEB"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04463CF5" w14:textId="77777777" w:rsidR="009A5AEC" w:rsidRDefault="00000000">
            <w:pPr>
              <w:pStyle w:val="Normal0"/>
              <w:rPr>
                <w:color w:val="000000"/>
                <w:sz w:val="20"/>
              </w:rPr>
            </w:pPr>
            <w:r>
              <w:rPr>
                <w:color w:val="000000"/>
                <w:sz w:val="20"/>
              </w:rPr>
              <w:t xml:space="preserve"> </w:t>
            </w:r>
          </w:p>
        </w:tc>
        <w:tc>
          <w:tcPr>
            <w:tcW w:w="611" w:type="pct"/>
            <w:tcBorders>
              <w:top w:val="double" w:sz="6" w:space="0" w:color="000000"/>
            </w:tcBorders>
            <w:shd w:val="clear" w:color="auto" w:fill="FFFFFF"/>
            <w:noWrap/>
            <w:tcMar>
              <w:top w:w="15" w:type="dxa"/>
              <w:left w:w="0" w:type="dxa"/>
              <w:bottom w:w="0" w:type="dxa"/>
              <w:right w:w="15" w:type="dxa"/>
            </w:tcMar>
            <w:vAlign w:val="bottom"/>
          </w:tcPr>
          <w:p w14:paraId="159D3968"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4BAFF950" w14:textId="77777777" w:rsidR="009A5AEC" w:rsidRDefault="00000000">
            <w:pPr>
              <w:pStyle w:val="Normal0"/>
              <w:rPr>
                <w:color w:val="000000"/>
                <w:sz w:val="20"/>
              </w:rPr>
            </w:pPr>
            <w:r>
              <w:rPr>
                <w:color w:val="000000"/>
                <w:sz w:val="20"/>
              </w:rPr>
              <w:t xml:space="preserve"> </w:t>
            </w:r>
          </w:p>
        </w:tc>
      </w:tr>
      <w:tr w:rsidR="003116D1" w14:paraId="24A9E1F4" w14:textId="77777777">
        <w:trPr>
          <w:cantSplit/>
          <w:jc w:val="center"/>
        </w:trPr>
        <w:tc>
          <w:tcPr>
            <w:tcW w:w="3400" w:type="pct"/>
            <w:shd w:val="clear" w:color="auto" w:fill="FFFFFF"/>
            <w:tcMar>
              <w:top w:w="15" w:type="dxa"/>
              <w:left w:w="0" w:type="dxa"/>
              <w:bottom w:w="0" w:type="dxa"/>
              <w:right w:w="15" w:type="dxa"/>
            </w:tcMar>
            <w:vAlign w:val="bottom"/>
          </w:tcPr>
          <w:p w14:paraId="40D09BE9" w14:textId="77777777" w:rsidR="009A5AEC" w:rsidRDefault="00000000">
            <w:pPr>
              <w:pStyle w:val="Normal0"/>
              <w:keepNext/>
              <w:ind w:left="274"/>
              <w:rPr>
                <w:color w:val="000000"/>
                <w:sz w:val="20"/>
              </w:rPr>
            </w:pPr>
            <w:r>
              <w:rPr>
                <w:color w:val="000000"/>
                <w:sz w:val="20"/>
              </w:rPr>
              <w:t xml:space="preserve"> Total Current Liabilities</w:t>
            </w:r>
          </w:p>
        </w:tc>
        <w:tc>
          <w:tcPr>
            <w:tcW w:w="88" w:type="pct"/>
            <w:shd w:val="clear" w:color="auto" w:fill="FFFFFF"/>
            <w:tcMar>
              <w:top w:w="15" w:type="dxa"/>
              <w:left w:w="0" w:type="dxa"/>
              <w:bottom w:w="0" w:type="dxa"/>
              <w:right w:w="15" w:type="dxa"/>
            </w:tcMar>
            <w:vAlign w:val="bottom"/>
          </w:tcPr>
          <w:p w14:paraId="1DFA1582"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1E17EA3B" w14:textId="77777777" w:rsidR="009A5AEC" w:rsidRDefault="00000000">
            <w:pPr>
              <w:pStyle w:val="Normal0"/>
              <w:rPr>
                <w:color w:val="000000"/>
                <w:sz w:val="20"/>
              </w:rPr>
            </w:pPr>
            <w:r>
              <w:rPr>
                <w:color w:val="000000"/>
                <w:sz w:val="20"/>
              </w:rPr>
              <w:t>$</w:t>
            </w:r>
          </w:p>
        </w:tc>
        <w:tc>
          <w:tcPr>
            <w:tcW w:w="611" w:type="pct"/>
            <w:shd w:val="clear" w:color="auto" w:fill="FFFFFF"/>
            <w:noWrap/>
            <w:tcMar>
              <w:top w:w="15" w:type="dxa"/>
              <w:left w:w="0" w:type="dxa"/>
              <w:bottom w:w="0" w:type="dxa"/>
              <w:right w:w="15" w:type="dxa"/>
            </w:tcMar>
            <w:vAlign w:val="bottom"/>
          </w:tcPr>
          <w:p w14:paraId="16819049" w14:textId="77777777" w:rsidR="009A5AEC" w:rsidRDefault="00000000">
            <w:pPr>
              <w:pStyle w:val="Normal0"/>
              <w:jc w:val="right"/>
              <w:rPr>
                <w:color w:val="000000"/>
                <w:sz w:val="20"/>
              </w:rPr>
            </w:pPr>
            <w:r>
              <w:rPr>
                <w:color w:val="000000"/>
                <w:sz w:val="20"/>
              </w:rPr>
              <w:t>5,132</w:t>
            </w:r>
          </w:p>
        </w:tc>
        <w:tc>
          <w:tcPr>
            <w:tcW w:w="50" w:type="pct"/>
            <w:shd w:val="clear" w:color="auto" w:fill="FFFFFF"/>
            <w:noWrap/>
            <w:tcMar>
              <w:top w:w="15" w:type="dxa"/>
              <w:left w:w="0" w:type="dxa"/>
              <w:bottom w:w="0" w:type="dxa"/>
              <w:right w:w="15" w:type="dxa"/>
            </w:tcMar>
            <w:vAlign w:val="bottom"/>
          </w:tcPr>
          <w:p w14:paraId="0388F280" w14:textId="77777777" w:rsidR="009A5AEC" w:rsidRDefault="00000000">
            <w:pPr>
              <w:pStyle w:val="Normal0"/>
              <w:rPr>
                <w:color w:val="000000"/>
                <w:sz w:val="20"/>
              </w:rPr>
            </w:pPr>
            <w:r>
              <w:rPr>
                <w:color w:val="000000"/>
                <w:sz w:val="20"/>
              </w:rPr>
              <w:t xml:space="preserve"> </w:t>
            </w:r>
          </w:p>
        </w:tc>
        <w:tc>
          <w:tcPr>
            <w:tcW w:w="88" w:type="pct"/>
            <w:shd w:val="clear" w:color="auto" w:fill="FFFFFF"/>
            <w:tcMar>
              <w:top w:w="15" w:type="dxa"/>
              <w:left w:w="0" w:type="dxa"/>
              <w:bottom w:w="0" w:type="dxa"/>
              <w:right w:w="15" w:type="dxa"/>
            </w:tcMar>
            <w:vAlign w:val="bottom"/>
          </w:tcPr>
          <w:p w14:paraId="37CBD1E5"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21401D47" w14:textId="77777777" w:rsidR="009A5AEC" w:rsidRDefault="00000000">
            <w:pPr>
              <w:pStyle w:val="Normal0"/>
              <w:rPr>
                <w:color w:val="000000"/>
                <w:sz w:val="20"/>
              </w:rPr>
            </w:pPr>
            <w:r>
              <w:rPr>
                <w:color w:val="000000"/>
                <w:sz w:val="20"/>
              </w:rPr>
              <w:t>$</w:t>
            </w:r>
          </w:p>
        </w:tc>
        <w:tc>
          <w:tcPr>
            <w:tcW w:w="611" w:type="pct"/>
            <w:shd w:val="clear" w:color="auto" w:fill="FFFFFF"/>
            <w:noWrap/>
            <w:tcMar>
              <w:top w:w="15" w:type="dxa"/>
              <w:left w:w="0" w:type="dxa"/>
              <w:bottom w:w="0" w:type="dxa"/>
              <w:right w:w="15" w:type="dxa"/>
            </w:tcMar>
            <w:vAlign w:val="bottom"/>
          </w:tcPr>
          <w:p w14:paraId="33AFF387" w14:textId="77777777" w:rsidR="009A5AEC" w:rsidRDefault="00000000">
            <w:pPr>
              <w:pStyle w:val="Normal0"/>
              <w:jc w:val="right"/>
              <w:rPr>
                <w:color w:val="000000"/>
                <w:sz w:val="20"/>
              </w:rPr>
            </w:pPr>
            <w:r>
              <w:rPr>
                <w:color w:val="000000"/>
                <w:sz w:val="20"/>
              </w:rPr>
              <w:t>4,426</w:t>
            </w:r>
          </w:p>
        </w:tc>
        <w:tc>
          <w:tcPr>
            <w:tcW w:w="50" w:type="pct"/>
            <w:shd w:val="clear" w:color="auto" w:fill="FFFFFF"/>
            <w:noWrap/>
            <w:tcMar>
              <w:top w:w="15" w:type="dxa"/>
              <w:left w:w="0" w:type="dxa"/>
              <w:bottom w:w="0" w:type="dxa"/>
              <w:right w:w="15" w:type="dxa"/>
            </w:tcMar>
            <w:vAlign w:val="bottom"/>
          </w:tcPr>
          <w:p w14:paraId="001E4781" w14:textId="77777777" w:rsidR="009A5AEC" w:rsidRDefault="00000000">
            <w:pPr>
              <w:pStyle w:val="Normal0"/>
              <w:rPr>
                <w:color w:val="000000"/>
                <w:sz w:val="20"/>
              </w:rPr>
            </w:pPr>
            <w:r>
              <w:rPr>
                <w:color w:val="000000"/>
                <w:sz w:val="20"/>
              </w:rPr>
              <w:t xml:space="preserve"> </w:t>
            </w:r>
          </w:p>
        </w:tc>
      </w:tr>
      <w:tr w:rsidR="003116D1" w14:paraId="6857B3E6" w14:textId="77777777">
        <w:trPr>
          <w:cantSplit/>
          <w:jc w:val="center"/>
        </w:trPr>
        <w:tc>
          <w:tcPr>
            <w:tcW w:w="3400" w:type="pct"/>
            <w:shd w:val="clear" w:color="auto" w:fill="FFFFFF"/>
            <w:tcMar>
              <w:top w:w="15" w:type="dxa"/>
              <w:left w:w="0" w:type="dxa"/>
              <w:bottom w:w="0" w:type="dxa"/>
              <w:right w:w="15" w:type="dxa"/>
            </w:tcMar>
            <w:vAlign w:val="bottom"/>
          </w:tcPr>
          <w:p w14:paraId="244E0910" w14:textId="77777777" w:rsidR="009A5AEC" w:rsidRDefault="00000000">
            <w:pPr>
              <w:pStyle w:val="Normal0"/>
              <w:keepNext/>
              <w:ind w:left="274"/>
              <w:rPr>
                <w:color w:val="000000"/>
                <w:sz w:val="20"/>
              </w:rPr>
            </w:pPr>
            <w:r>
              <w:rPr>
                <w:color w:val="000000"/>
                <w:sz w:val="20"/>
              </w:rPr>
              <w:t xml:space="preserve"> Total Long-Term Liabilities</w:t>
            </w:r>
          </w:p>
        </w:tc>
        <w:tc>
          <w:tcPr>
            <w:tcW w:w="88" w:type="pct"/>
            <w:shd w:val="clear" w:color="auto" w:fill="FFFFFF"/>
            <w:tcMar>
              <w:top w:w="15" w:type="dxa"/>
              <w:left w:w="0" w:type="dxa"/>
              <w:bottom w:w="0" w:type="dxa"/>
              <w:right w:w="15" w:type="dxa"/>
            </w:tcMar>
            <w:vAlign w:val="bottom"/>
          </w:tcPr>
          <w:p w14:paraId="60BE6E3F"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04985303" w14:textId="77777777" w:rsidR="009A5AEC" w:rsidRDefault="00000000">
            <w:pPr>
              <w:pStyle w:val="Normal0"/>
              <w:rPr>
                <w:color w:val="000000"/>
                <w:sz w:val="20"/>
              </w:rPr>
            </w:pPr>
            <w:r>
              <w:rPr>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62B551AF" w14:textId="77777777" w:rsidR="009A5AEC" w:rsidRDefault="00000000">
            <w:pPr>
              <w:pStyle w:val="Normal0"/>
              <w:jc w:val="right"/>
              <w:rPr>
                <w:color w:val="000000"/>
                <w:sz w:val="20"/>
              </w:rPr>
            </w:pPr>
            <w:r>
              <w:rPr>
                <w:color w:val="000000"/>
                <w:sz w:val="20"/>
              </w:rPr>
              <w:t>593</w:t>
            </w:r>
          </w:p>
        </w:tc>
        <w:tc>
          <w:tcPr>
            <w:tcW w:w="50" w:type="pct"/>
            <w:shd w:val="clear" w:color="auto" w:fill="FFFFFF"/>
            <w:noWrap/>
            <w:tcMar>
              <w:top w:w="15" w:type="dxa"/>
              <w:left w:w="0" w:type="dxa"/>
              <w:bottom w:w="0" w:type="dxa"/>
              <w:right w:w="15" w:type="dxa"/>
            </w:tcMar>
            <w:vAlign w:val="bottom"/>
          </w:tcPr>
          <w:p w14:paraId="610B9E3C" w14:textId="77777777" w:rsidR="009A5AEC" w:rsidRDefault="00000000">
            <w:pPr>
              <w:pStyle w:val="Normal0"/>
              <w:rPr>
                <w:color w:val="000000"/>
                <w:sz w:val="20"/>
              </w:rPr>
            </w:pPr>
            <w:r>
              <w:rPr>
                <w:color w:val="000000"/>
                <w:sz w:val="20"/>
              </w:rPr>
              <w:t xml:space="preserve"> </w:t>
            </w:r>
          </w:p>
        </w:tc>
        <w:tc>
          <w:tcPr>
            <w:tcW w:w="88" w:type="pct"/>
            <w:shd w:val="clear" w:color="auto" w:fill="FFFFFF"/>
            <w:tcMar>
              <w:top w:w="15" w:type="dxa"/>
              <w:left w:w="0" w:type="dxa"/>
              <w:bottom w:w="0" w:type="dxa"/>
              <w:right w:w="15" w:type="dxa"/>
            </w:tcMar>
            <w:vAlign w:val="bottom"/>
          </w:tcPr>
          <w:p w14:paraId="15C240B6"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58394295" w14:textId="77777777" w:rsidR="009A5AEC" w:rsidRDefault="00000000">
            <w:pPr>
              <w:pStyle w:val="Normal0"/>
              <w:rPr>
                <w:color w:val="000000"/>
                <w:sz w:val="20"/>
              </w:rPr>
            </w:pPr>
            <w:r>
              <w:rPr>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27BC3E60" w14:textId="77777777" w:rsidR="009A5AEC" w:rsidRDefault="00000000">
            <w:pPr>
              <w:pStyle w:val="Normal0"/>
              <w:jc w:val="right"/>
              <w:rPr>
                <w:color w:val="000000"/>
                <w:sz w:val="20"/>
              </w:rPr>
            </w:pPr>
            <w:r>
              <w:rPr>
                <w:color w:val="000000"/>
                <w:sz w:val="20"/>
              </w:rPr>
              <w:t>737</w:t>
            </w:r>
          </w:p>
        </w:tc>
        <w:tc>
          <w:tcPr>
            <w:tcW w:w="50" w:type="pct"/>
            <w:shd w:val="clear" w:color="auto" w:fill="FFFFFF"/>
            <w:noWrap/>
            <w:tcMar>
              <w:top w:w="15" w:type="dxa"/>
              <w:left w:w="0" w:type="dxa"/>
              <w:bottom w:w="0" w:type="dxa"/>
              <w:right w:w="15" w:type="dxa"/>
            </w:tcMar>
            <w:vAlign w:val="bottom"/>
          </w:tcPr>
          <w:p w14:paraId="7BB1A018" w14:textId="77777777" w:rsidR="009A5AEC" w:rsidRDefault="00000000">
            <w:pPr>
              <w:pStyle w:val="Normal0"/>
              <w:rPr>
                <w:color w:val="000000"/>
                <w:sz w:val="20"/>
              </w:rPr>
            </w:pPr>
            <w:r>
              <w:rPr>
                <w:color w:val="000000"/>
                <w:sz w:val="20"/>
              </w:rPr>
              <w:t xml:space="preserve"> </w:t>
            </w:r>
          </w:p>
        </w:tc>
      </w:tr>
      <w:tr w:rsidR="003116D1" w14:paraId="2AD5DC39" w14:textId="77777777">
        <w:trPr>
          <w:cantSplit/>
          <w:jc w:val="center"/>
        </w:trPr>
        <w:tc>
          <w:tcPr>
            <w:tcW w:w="3400" w:type="pct"/>
            <w:shd w:val="clear" w:color="auto" w:fill="FFFFFF"/>
            <w:tcMar>
              <w:top w:w="15" w:type="dxa"/>
              <w:left w:w="0" w:type="dxa"/>
              <w:bottom w:w="0" w:type="dxa"/>
              <w:right w:w="15" w:type="dxa"/>
            </w:tcMar>
            <w:vAlign w:val="bottom"/>
          </w:tcPr>
          <w:p w14:paraId="079D7013" w14:textId="77777777" w:rsidR="009A5AEC" w:rsidRDefault="00000000">
            <w:pPr>
              <w:pStyle w:val="Normal0"/>
              <w:keepNext/>
              <w:ind w:left="274"/>
              <w:rPr>
                <w:color w:val="000000"/>
                <w:sz w:val="20"/>
              </w:rPr>
            </w:pPr>
            <w:r>
              <w:rPr>
                <w:color w:val="000000"/>
                <w:sz w:val="20"/>
              </w:rPr>
              <w:t xml:space="preserve"> Total Liabilities</w:t>
            </w:r>
          </w:p>
        </w:tc>
        <w:tc>
          <w:tcPr>
            <w:tcW w:w="88" w:type="pct"/>
            <w:shd w:val="clear" w:color="auto" w:fill="FFFFFF"/>
            <w:tcMar>
              <w:top w:w="15" w:type="dxa"/>
              <w:left w:w="0" w:type="dxa"/>
              <w:bottom w:w="0" w:type="dxa"/>
              <w:right w:w="15" w:type="dxa"/>
            </w:tcMar>
            <w:vAlign w:val="bottom"/>
          </w:tcPr>
          <w:p w14:paraId="3DE1437F"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05E73AA1" w14:textId="77777777" w:rsidR="009A5AEC" w:rsidRDefault="00000000">
            <w:pPr>
              <w:pStyle w:val="Normal0"/>
              <w:rPr>
                <w:color w:val="000000"/>
                <w:sz w:val="20"/>
              </w:rPr>
            </w:pPr>
            <w:r>
              <w:rPr>
                <w:color w:val="000000"/>
                <w:sz w:val="20"/>
              </w:rPr>
              <w:t xml:space="preserve"> </w:t>
            </w:r>
          </w:p>
        </w:tc>
        <w:tc>
          <w:tcPr>
            <w:tcW w:w="611" w:type="pct"/>
            <w:tcBorders>
              <w:top w:val="single" w:sz="2" w:space="0" w:color="000000"/>
            </w:tcBorders>
            <w:shd w:val="clear" w:color="auto" w:fill="FFFFFF"/>
            <w:noWrap/>
            <w:tcMar>
              <w:top w:w="15" w:type="dxa"/>
              <w:left w:w="0" w:type="dxa"/>
              <w:bottom w:w="0" w:type="dxa"/>
              <w:right w:w="15" w:type="dxa"/>
            </w:tcMar>
            <w:vAlign w:val="bottom"/>
          </w:tcPr>
          <w:p w14:paraId="12C0DDA6" w14:textId="77777777" w:rsidR="009A5AEC" w:rsidRDefault="00000000">
            <w:pPr>
              <w:pStyle w:val="Normal0"/>
              <w:jc w:val="right"/>
              <w:rPr>
                <w:color w:val="000000"/>
                <w:sz w:val="20"/>
              </w:rPr>
            </w:pPr>
            <w:r>
              <w:rPr>
                <w:color w:val="000000"/>
                <w:sz w:val="20"/>
              </w:rPr>
              <w:t>5,725</w:t>
            </w:r>
          </w:p>
        </w:tc>
        <w:tc>
          <w:tcPr>
            <w:tcW w:w="50" w:type="pct"/>
            <w:shd w:val="clear" w:color="auto" w:fill="FFFFFF"/>
            <w:noWrap/>
            <w:tcMar>
              <w:top w:w="15" w:type="dxa"/>
              <w:left w:w="0" w:type="dxa"/>
              <w:bottom w:w="0" w:type="dxa"/>
              <w:right w:w="15" w:type="dxa"/>
            </w:tcMar>
            <w:vAlign w:val="bottom"/>
          </w:tcPr>
          <w:p w14:paraId="0C03F4C3" w14:textId="77777777" w:rsidR="009A5AEC" w:rsidRDefault="00000000">
            <w:pPr>
              <w:pStyle w:val="Normal0"/>
              <w:rPr>
                <w:color w:val="000000"/>
                <w:sz w:val="20"/>
              </w:rPr>
            </w:pPr>
            <w:r>
              <w:rPr>
                <w:color w:val="000000"/>
                <w:sz w:val="20"/>
              </w:rPr>
              <w:t xml:space="preserve"> </w:t>
            </w:r>
          </w:p>
        </w:tc>
        <w:tc>
          <w:tcPr>
            <w:tcW w:w="88" w:type="pct"/>
            <w:shd w:val="clear" w:color="auto" w:fill="FFFFFF"/>
            <w:tcMar>
              <w:top w:w="15" w:type="dxa"/>
              <w:left w:w="0" w:type="dxa"/>
              <w:bottom w:w="0" w:type="dxa"/>
              <w:right w:w="15" w:type="dxa"/>
            </w:tcMar>
            <w:vAlign w:val="bottom"/>
          </w:tcPr>
          <w:p w14:paraId="0ED18CF2"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1818EAEC" w14:textId="77777777" w:rsidR="009A5AEC" w:rsidRDefault="00000000">
            <w:pPr>
              <w:pStyle w:val="Normal0"/>
              <w:rPr>
                <w:color w:val="000000"/>
                <w:sz w:val="20"/>
              </w:rPr>
            </w:pPr>
            <w:r>
              <w:rPr>
                <w:color w:val="000000"/>
                <w:sz w:val="20"/>
              </w:rPr>
              <w:t xml:space="preserve"> </w:t>
            </w:r>
          </w:p>
        </w:tc>
        <w:tc>
          <w:tcPr>
            <w:tcW w:w="611" w:type="pct"/>
            <w:tcBorders>
              <w:top w:val="single" w:sz="2" w:space="0" w:color="000000"/>
            </w:tcBorders>
            <w:shd w:val="clear" w:color="auto" w:fill="FFFFFF"/>
            <w:noWrap/>
            <w:tcMar>
              <w:top w:w="15" w:type="dxa"/>
              <w:left w:w="0" w:type="dxa"/>
              <w:bottom w:w="0" w:type="dxa"/>
              <w:right w:w="15" w:type="dxa"/>
            </w:tcMar>
            <w:vAlign w:val="bottom"/>
          </w:tcPr>
          <w:p w14:paraId="0EF90C65" w14:textId="77777777" w:rsidR="009A5AEC" w:rsidRDefault="00000000">
            <w:pPr>
              <w:pStyle w:val="Normal0"/>
              <w:jc w:val="right"/>
              <w:rPr>
                <w:color w:val="000000"/>
                <w:sz w:val="20"/>
              </w:rPr>
            </w:pPr>
            <w:r>
              <w:rPr>
                <w:color w:val="000000"/>
                <w:sz w:val="20"/>
              </w:rPr>
              <w:t>5,163</w:t>
            </w:r>
          </w:p>
        </w:tc>
        <w:tc>
          <w:tcPr>
            <w:tcW w:w="50" w:type="pct"/>
            <w:shd w:val="clear" w:color="auto" w:fill="FFFFFF"/>
            <w:noWrap/>
            <w:tcMar>
              <w:top w:w="15" w:type="dxa"/>
              <w:left w:w="0" w:type="dxa"/>
              <w:bottom w:w="0" w:type="dxa"/>
              <w:right w:w="15" w:type="dxa"/>
            </w:tcMar>
            <w:vAlign w:val="bottom"/>
          </w:tcPr>
          <w:p w14:paraId="035D3C10" w14:textId="77777777" w:rsidR="009A5AEC" w:rsidRDefault="00000000">
            <w:pPr>
              <w:pStyle w:val="Normal0"/>
              <w:rPr>
                <w:color w:val="000000"/>
                <w:sz w:val="20"/>
              </w:rPr>
            </w:pPr>
            <w:r>
              <w:rPr>
                <w:color w:val="000000"/>
                <w:sz w:val="20"/>
              </w:rPr>
              <w:t xml:space="preserve"> </w:t>
            </w:r>
          </w:p>
        </w:tc>
      </w:tr>
      <w:tr w:rsidR="003116D1" w14:paraId="79AE8271" w14:textId="77777777">
        <w:trPr>
          <w:cantSplit/>
          <w:jc w:val="center"/>
        </w:trPr>
        <w:tc>
          <w:tcPr>
            <w:tcW w:w="3400" w:type="pct"/>
            <w:shd w:val="clear" w:color="auto" w:fill="FFFFFF"/>
            <w:tcMar>
              <w:top w:w="15" w:type="dxa"/>
              <w:left w:w="0" w:type="dxa"/>
              <w:bottom w:w="0" w:type="dxa"/>
              <w:right w:w="15" w:type="dxa"/>
            </w:tcMar>
            <w:vAlign w:val="bottom"/>
          </w:tcPr>
          <w:p w14:paraId="696E4933" w14:textId="77777777" w:rsidR="009A5AEC" w:rsidRDefault="00000000">
            <w:pPr>
              <w:pStyle w:val="Normal0"/>
              <w:keepNext/>
              <w:ind w:left="274"/>
              <w:rPr>
                <w:color w:val="000000"/>
                <w:sz w:val="20"/>
              </w:rPr>
            </w:pPr>
            <w:r>
              <w:rPr>
                <w:color w:val="000000"/>
                <w:sz w:val="20"/>
              </w:rPr>
              <w:t xml:space="preserve"> Total Stockholders' Equity</w:t>
            </w:r>
          </w:p>
        </w:tc>
        <w:tc>
          <w:tcPr>
            <w:tcW w:w="88" w:type="pct"/>
            <w:shd w:val="clear" w:color="auto" w:fill="FFFFFF"/>
            <w:tcMar>
              <w:top w:w="15" w:type="dxa"/>
              <w:left w:w="0" w:type="dxa"/>
              <w:bottom w:w="0" w:type="dxa"/>
              <w:right w:w="15" w:type="dxa"/>
            </w:tcMar>
            <w:vAlign w:val="bottom"/>
          </w:tcPr>
          <w:p w14:paraId="46FB2934"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2C689D83" w14:textId="77777777" w:rsidR="009A5AEC" w:rsidRDefault="00000000">
            <w:pPr>
              <w:pStyle w:val="Normal0"/>
              <w:rPr>
                <w:color w:val="000000"/>
                <w:sz w:val="20"/>
              </w:rPr>
            </w:pPr>
            <w:r>
              <w:rPr>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446F7A77" w14:textId="77777777" w:rsidR="009A5AEC" w:rsidRDefault="00000000">
            <w:pPr>
              <w:pStyle w:val="Normal0"/>
              <w:jc w:val="right"/>
              <w:rPr>
                <w:color w:val="000000"/>
                <w:sz w:val="20"/>
              </w:rPr>
            </w:pPr>
            <w:r>
              <w:rPr>
                <w:color w:val="000000"/>
                <w:sz w:val="20"/>
              </w:rPr>
              <w:t>52,179</w:t>
            </w:r>
          </w:p>
        </w:tc>
        <w:tc>
          <w:tcPr>
            <w:tcW w:w="50" w:type="pct"/>
            <w:shd w:val="clear" w:color="auto" w:fill="FFFFFF"/>
            <w:noWrap/>
            <w:tcMar>
              <w:top w:w="15" w:type="dxa"/>
              <w:left w:w="0" w:type="dxa"/>
              <w:bottom w:w="0" w:type="dxa"/>
              <w:right w:w="15" w:type="dxa"/>
            </w:tcMar>
            <w:vAlign w:val="bottom"/>
          </w:tcPr>
          <w:p w14:paraId="03B9F2D6" w14:textId="77777777" w:rsidR="009A5AEC" w:rsidRDefault="00000000">
            <w:pPr>
              <w:pStyle w:val="Normal0"/>
              <w:rPr>
                <w:color w:val="000000"/>
                <w:sz w:val="20"/>
              </w:rPr>
            </w:pPr>
            <w:r>
              <w:rPr>
                <w:color w:val="000000"/>
                <w:sz w:val="20"/>
              </w:rPr>
              <w:t xml:space="preserve"> </w:t>
            </w:r>
          </w:p>
        </w:tc>
        <w:tc>
          <w:tcPr>
            <w:tcW w:w="88" w:type="pct"/>
            <w:shd w:val="clear" w:color="auto" w:fill="FFFFFF"/>
            <w:tcMar>
              <w:top w:w="15" w:type="dxa"/>
              <w:left w:w="0" w:type="dxa"/>
              <w:bottom w:w="0" w:type="dxa"/>
              <w:right w:w="15" w:type="dxa"/>
            </w:tcMar>
            <w:vAlign w:val="bottom"/>
          </w:tcPr>
          <w:p w14:paraId="0FA5B9C9"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63D516C7" w14:textId="77777777" w:rsidR="009A5AEC" w:rsidRDefault="00000000">
            <w:pPr>
              <w:pStyle w:val="Normal0"/>
              <w:rPr>
                <w:color w:val="000000"/>
                <w:sz w:val="20"/>
              </w:rPr>
            </w:pPr>
            <w:r>
              <w:rPr>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00D7CA6E" w14:textId="77777777" w:rsidR="009A5AEC" w:rsidRDefault="00000000">
            <w:pPr>
              <w:pStyle w:val="Normal0"/>
              <w:jc w:val="right"/>
              <w:rPr>
                <w:color w:val="000000"/>
                <w:sz w:val="20"/>
              </w:rPr>
            </w:pPr>
            <w:r>
              <w:rPr>
                <w:color w:val="000000"/>
                <w:sz w:val="20"/>
              </w:rPr>
              <w:t>54,743</w:t>
            </w:r>
          </w:p>
        </w:tc>
        <w:tc>
          <w:tcPr>
            <w:tcW w:w="50" w:type="pct"/>
            <w:shd w:val="clear" w:color="auto" w:fill="FFFFFF"/>
            <w:noWrap/>
            <w:tcMar>
              <w:top w:w="15" w:type="dxa"/>
              <w:left w:w="0" w:type="dxa"/>
              <w:bottom w:w="0" w:type="dxa"/>
              <w:right w:w="15" w:type="dxa"/>
            </w:tcMar>
            <w:vAlign w:val="bottom"/>
          </w:tcPr>
          <w:p w14:paraId="717D9448" w14:textId="77777777" w:rsidR="009A5AEC" w:rsidRDefault="00000000">
            <w:pPr>
              <w:pStyle w:val="Normal0"/>
              <w:rPr>
                <w:color w:val="000000"/>
                <w:sz w:val="20"/>
              </w:rPr>
            </w:pPr>
            <w:r>
              <w:rPr>
                <w:color w:val="000000"/>
                <w:sz w:val="20"/>
              </w:rPr>
              <w:t xml:space="preserve"> </w:t>
            </w:r>
          </w:p>
        </w:tc>
      </w:tr>
      <w:tr w:rsidR="003116D1" w14:paraId="12AEA19C" w14:textId="77777777">
        <w:trPr>
          <w:cantSplit/>
          <w:jc w:val="center"/>
        </w:trPr>
        <w:tc>
          <w:tcPr>
            <w:tcW w:w="3400" w:type="pct"/>
            <w:shd w:val="clear" w:color="auto" w:fill="FFFFFF"/>
            <w:tcMar>
              <w:top w:w="15" w:type="dxa"/>
              <w:left w:w="0" w:type="dxa"/>
              <w:bottom w:w="0" w:type="dxa"/>
              <w:right w:w="15" w:type="dxa"/>
            </w:tcMar>
            <w:vAlign w:val="bottom"/>
          </w:tcPr>
          <w:p w14:paraId="36CF3132" w14:textId="77777777" w:rsidR="009A5AEC" w:rsidRDefault="00000000">
            <w:pPr>
              <w:pStyle w:val="Normal0"/>
              <w:keepNext/>
              <w:ind w:left="274"/>
              <w:rPr>
                <w:color w:val="000000"/>
                <w:sz w:val="20"/>
              </w:rPr>
            </w:pPr>
            <w:r>
              <w:rPr>
                <w:color w:val="000000"/>
                <w:sz w:val="20"/>
              </w:rPr>
              <w:t xml:space="preserve"> Total Liabilities and Stockholders' Equity</w:t>
            </w:r>
          </w:p>
        </w:tc>
        <w:tc>
          <w:tcPr>
            <w:tcW w:w="88" w:type="pct"/>
            <w:shd w:val="clear" w:color="auto" w:fill="FFFFFF"/>
            <w:tcMar>
              <w:top w:w="15" w:type="dxa"/>
              <w:left w:w="0" w:type="dxa"/>
              <w:bottom w:w="0" w:type="dxa"/>
              <w:right w:w="15" w:type="dxa"/>
            </w:tcMar>
            <w:vAlign w:val="bottom"/>
          </w:tcPr>
          <w:p w14:paraId="459F26A7"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059AA632" w14:textId="77777777" w:rsidR="009A5AEC" w:rsidRDefault="00000000">
            <w:pPr>
              <w:pStyle w:val="Normal0"/>
              <w:rPr>
                <w:color w:val="000000"/>
                <w:sz w:val="20"/>
              </w:rPr>
            </w:pPr>
            <w:r>
              <w:rPr>
                <w:color w:val="000000"/>
                <w:sz w:val="20"/>
              </w:rPr>
              <w:t>$</w:t>
            </w:r>
          </w:p>
        </w:tc>
        <w:tc>
          <w:tcPr>
            <w:tcW w:w="611"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18E67142" w14:textId="77777777" w:rsidR="009A5AEC" w:rsidRDefault="00000000">
            <w:pPr>
              <w:pStyle w:val="Normal0"/>
              <w:jc w:val="right"/>
              <w:rPr>
                <w:color w:val="000000"/>
                <w:sz w:val="20"/>
              </w:rPr>
            </w:pPr>
            <w:r>
              <w:rPr>
                <w:color w:val="000000"/>
                <w:sz w:val="20"/>
              </w:rPr>
              <w:t>57,904</w:t>
            </w:r>
          </w:p>
        </w:tc>
        <w:tc>
          <w:tcPr>
            <w:tcW w:w="50" w:type="pct"/>
            <w:shd w:val="clear" w:color="auto" w:fill="FFFFFF"/>
            <w:noWrap/>
            <w:tcMar>
              <w:top w:w="15" w:type="dxa"/>
              <w:left w:w="0" w:type="dxa"/>
              <w:bottom w:w="0" w:type="dxa"/>
              <w:right w:w="15" w:type="dxa"/>
            </w:tcMar>
            <w:vAlign w:val="bottom"/>
          </w:tcPr>
          <w:p w14:paraId="5B93A114" w14:textId="77777777" w:rsidR="009A5AEC" w:rsidRDefault="00000000">
            <w:pPr>
              <w:pStyle w:val="Normal0"/>
              <w:rPr>
                <w:color w:val="000000"/>
                <w:sz w:val="20"/>
              </w:rPr>
            </w:pPr>
            <w:r>
              <w:rPr>
                <w:color w:val="000000"/>
                <w:sz w:val="20"/>
              </w:rPr>
              <w:t xml:space="preserve"> </w:t>
            </w:r>
          </w:p>
        </w:tc>
        <w:tc>
          <w:tcPr>
            <w:tcW w:w="88" w:type="pct"/>
            <w:shd w:val="clear" w:color="auto" w:fill="FFFFFF"/>
            <w:tcMar>
              <w:top w:w="15" w:type="dxa"/>
              <w:left w:w="0" w:type="dxa"/>
              <w:bottom w:w="0" w:type="dxa"/>
              <w:right w:w="15" w:type="dxa"/>
            </w:tcMar>
            <w:vAlign w:val="bottom"/>
          </w:tcPr>
          <w:p w14:paraId="49976DA2"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5155B2DF" w14:textId="77777777" w:rsidR="009A5AEC" w:rsidRDefault="00000000">
            <w:pPr>
              <w:pStyle w:val="Normal0"/>
              <w:rPr>
                <w:color w:val="000000"/>
                <w:sz w:val="20"/>
              </w:rPr>
            </w:pPr>
            <w:r>
              <w:rPr>
                <w:color w:val="000000"/>
                <w:sz w:val="20"/>
              </w:rPr>
              <w:t>$</w:t>
            </w:r>
          </w:p>
        </w:tc>
        <w:tc>
          <w:tcPr>
            <w:tcW w:w="611"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5FBBF8BD" w14:textId="77777777" w:rsidR="009A5AEC" w:rsidRDefault="00000000">
            <w:pPr>
              <w:pStyle w:val="Normal0"/>
              <w:jc w:val="right"/>
              <w:rPr>
                <w:color w:val="000000"/>
                <w:sz w:val="20"/>
              </w:rPr>
            </w:pPr>
            <w:r>
              <w:rPr>
                <w:color w:val="000000"/>
                <w:sz w:val="20"/>
              </w:rPr>
              <w:t>59,906</w:t>
            </w:r>
          </w:p>
        </w:tc>
        <w:tc>
          <w:tcPr>
            <w:tcW w:w="50" w:type="pct"/>
            <w:shd w:val="clear" w:color="auto" w:fill="FFFFFF"/>
            <w:noWrap/>
            <w:tcMar>
              <w:top w:w="15" w:type="dxa"/>
              <w:left w:w="0" w:type="dxa"/>
              <w:bottom w:w="0" w:type="dxa"/>
              <w:right w:w="15" w:type="dxa"/>
            </w:tcMar>
            <w:vAlign w:val="bottom"/>
          </w:tcPr>
          <w:p w14:paraId="494261CC" w14:textId="77777777" w:rsidR="009A5AEC" w:rsidRDefault="00000000">
            <w:pPr>
              <w:pStyle w:val="Normal0"/>
              <w:rPr>
                <w:color w:val="000000"/>
                <w:sz w:val="20"/>
              </w:rPr>
            </w:pPr>
            <w:r>
              <w:rPr>
                <w:color w:val="000000"/>
                <w:sz w:val="20"/>
              </w:rPr>
              <w:t xml:space="preserve"> </w:t>
            </w:r>
          </w:p>
        </w:tc>
      </w:tr>
      <w:tr w:rsidR="003116D1" w14:paraId="54480CC6" w14:textId="77777777">
        <w:trPr>
          <w:cantSplit/>
          <w:jc w:val="center"/>
        </w:trPr>
        <w:tc>
          <w:tcPr>
            <w:tcW w:w="3400" w:type="pct"/>
            <w:shd w:val="clear" w:color="auto" w:fill="FFFFFF"/>
            <w:tcMar>
              <w:top w:w="15" w:type="dxa"/>
              <w:left w:w="0" w:type="dxa"/>
              <w:bottom w:w="0" w:type="dxa"/>
              <w:right w:w="15" w:type="dxa"/>
            </w:tcMar>
            <w:vAlign w:val="bottom"/>
          </w:tcPr>
          <w:p w14:paraId="507A909F" w14:textId="77777777" w:rsidR="009A5AEC" w:rsidRDefault="00000000">
            <w:pPr>
              <w:pStyle w:val="Normal0"/>
              <w:keepNext/>
              <w:rPr>
                <w:color w:val="000000"/>
                <w:sz w:val="20"/>
              </w:rPr>
            </w:pPr>
            <w:r>
              <w:rPr>
                <w:color w:val="000000"/>
                <w:sz w:val="20"/>
              </w:rPr>
              <w:t xml:space="preserve"> </w:t>
            </w:r>
          </w:p>
        </w:tc>
        <w:tc>
          <w:tcPr>
            <w:tcW w:w="88" w:type="pct"/>
            <w:shd w:val="clear" w:color="auto" w:fill="FFFFFF"/>
            <w:tcMar>
              <w:top w:w="15" w:type="dxa"/>
              <w:left w:w="0" w:type="dxa"/>
              <w:bottom w:w="0" w:type="dxa"/>
              <w:right w:w="15" w:type="dxa"/>
            </w:tcMar>
            <w:vAlign w:val="bottom"/>
          </w:tcPr>
          <w:p w14:paraId="090B1163"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08A6AC7B" w14:textId="77777777" w:rsidR="009A5AEC" w:rsidRDefault="00000000">
            <w:pPr>
              <w:pStyle w:val="Normal0"/>
              <w:rPr>
                <w:color w:val="000000"/>
                <w:sz w:val="20"/>
              </w:rPr>
            </w:pPr>
            <w:r>
              <w:rPr>
                <w:color w:val="000000"/>
                <w:sz w:val="20"/>
              </w:rPr>
              <w:t xml:space="preserve"> </w:t>
            </w:r>
          </w:p>
        </w:tc>
        <w:tc>
          <w:tcPr>
            <w:tcW w:w="611" w:type="pct"/>
            <w:tcBorders>
              <w:top w:val="double" w:sz="6" w:space="0" w:color="000000"/>
            </w:tcBorders>
            <w:shd w:val="clear" w:color="auto" w:fill="FFFFFF"/>
            <w:noWrap/>
            <w:tcMar>
              <w:top w:w="15" w:type="dxa"/>
              <w:left w:w="0" w:type="dxa"/>
              <w:bottom w:w="0" w:type="dxa"/>
              <w:right w:w="15" w:type="dxa"/>
            </w:tcMar>
            <w:vAlign w:val="bottom"/>
          </w:tcPr>
          <w:p w14:paraId="7D338FEB"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3E253524" w14:textId="77777777" w:rsidR="009A5AEC" w:rsidRDefault="00000000">
            <w:pPr>
              <w:pStyle w:val="Normal0"/>
              <w:rPr>
                <w:color w:val="000000"/>
                <w:sz w:val="20"/>
              </w:rPr>
            </w:pPr>
            <w:r>
              <w:rPr>
                <w:color w:val="000000"/>
                <w:sz w:val="20"/>
              </w:rPr>
              <w:t xml:space="preserve"> </w:t>
            </w:r>
          </w:p>
        </w:tc>
        <w:tc>
          <w:tcPr>
            <w:tcW w:w="88" w:type="pct"/>
            <w:shd w:val="clear" w:color="auto" w:fill="FFFFFF"/>
            <w:tcMar>
              <w:top w:w="15" w:type="dxa"/>
              <w:left w:w="0" w:type="dxa"/>
              <w:bottom w:w="0" w:type="dxa"/>
              <w:right w:w="15" w:type="dxa"/>
            </w:tcMar>
            <w:vAlign w:val="bottom"/>
          </w:tcPr>
          <w:p w14:paraId="347468D7"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70E6D3DF" w14:textId="77777777" w:rsidR="009A5AEC" w:rsidRDefault="00000000">
            <w:pPr>
              <w:pStyle w:val="Normal0"/>
              <w:rPr>
                <w:color w:val="000000"/>
                <w:sz w:val="20"/>
              </w:rPr>
            </w:pPr>
            <w:r>
              <w:rPr>
                <w:color w:val="000000"/>
                <w:sz w:val="20"/>
              </w:rPr>
              <w:t xml:space="preserve"> </w:t>
            </w:r>
          </w:p>
        </w:tc>
        <w:tc>
          <w:tcPr>
            <w:tcW w:w="611" w:type="pct"/>
            <w:tcBorders>
              <w:top w:val="double" w:sz="6" w:space="0" w:color="000000"/>
            </w:tcBorders>
            <w:shd w:val="clear" w:color="auto" w:fill="FFFFFF"/>
            <w:noWrap/>
            <w:tcMar>
              <w:top w:w="15" w:type="dxa"/>
              <w:left w:w="0" w:type="dxa"/>
              <w:bottom w:w="0" w:type="dxa"/>
              <w:right w:w="15" w:type="dxa"/>
            </w:tcMar>
            <w:vAlign w:val="bottom"/>
          </w:tcPr>
          <w:p w14:paraId="625B150F"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5B43D4D0" w14:textId="77777777" w:rsidR="009A5AEC" w:rsidRDefault="00000000">
            <w:pPr>
              <w:pStyle w:val="Normal0"/>
              <w:rPr>
                <w:color w:val="000000"/>
                <w:sz w:val="20"/>
              </w:rPr>
            </w:pPr>
            <w:r>
              <w:rPr>
                <w:color w:val="000000"/>
                <w:sz w:val="20"/>
              </w:rPr>
              <w:t xml:space="preserve"> </w:t>
            </w:r>
          </w:p>
        </w:tc>
      </w:tr>
      <w:tr w:rsidR="003116D1" w14:paraId="16CF106D" w14:textId="77777777">
        <w:trPr>
          <w:cantSplit/>
          <w:jc w:val="center"/>
        </w:trPr>
        <w:tc>
          <w:tcPr>
            <w:tcW w:w="3400" w:type="pct"/>
            <w:shd w:val="clear" w:color="auto" w:fill="FFFFFF"/>
            <w:tcMar>
              <w:top w:w="15" w:type="dxa"/>
              <w:left w:w="0" w:type="dxa"/>
              <w:bottom w:w="0" w:type="dxa"/>
              <w:right w:w="15" w:type="dxa"/>
            </w:tcMar>
            <w:vAlign w:val="bottom"/>
          </w:tcPr>
          <w:p w14:paraId="6B1EE045" w14:textId="77777777" w:rsidR="009A5AEC" w:rsidRDefault="00000000">
            <w:pPr>
              <w:pStyle w:val="Normal0"/>
              <w:rPr>
                <w:i/>
                <w:color w:val="000000"/>
                <w:sz w:val="18"/>
              </w:rPr>
            </w:pPr>
            <w:r>
              <w:rPr>
                <w:i/>
                <w:color w:val="000000"/>
                <w:sz w:val="18"/>
              </w:rPr>
              <w:t xml:space="preserve"> </w:t>
            </w:r>
          </w:p>
        </w:tc>
        <w:tc>
          <w:tcPr>
            <w:tcW w:w="88" w:type="pct"/>
            <w:shd w:val="clear" w:color="auto" w:fill="FFFFFF"/>
            <w:tcMar>
              <w:top w:w="15" w:type="dxa"/>
              <w:left w:w="0" w:type="dxa"/>
              <w:bottom w:w="0" w:type="dxa"/>
              <w:right w:w="15" w:type="dxa"/>
            </w:tcMar>
            <w:vAlign w:val="bottom"/>
          </w:tcPr>
          <w:p w14:paraId="1A8E96D4"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6B3CFBE2" w14:textId="77777777" w:rsidR="009A5AEC" w:rsidRDefault="00000000">
            <w:pPr>
              <w:pStyle w:val="Normal0"/>
              <w:rPr>
                <w:color w:val="000000"/>
                <w:sz w:val="20"/>
              </w:rPr>
            </w:pPr>
            <w:r>
              <w:rPr>
                <w:color w:val="000000"/>
                <w:sz w:val="20"/>
              </w:rPr>
              <w:t xml:space="preserve"> </w:t>
            </w:r>
          </w:p>
        </w:tc>
        <w:tc>
          <w:tcPr>
            <w:tcW w:w="611" w:type="pct"/>
            <w:shd w:val="clear" w:color="auto" w:fill="FFFFFF"/>
            <w:noWrap/>
            <w:tcMar>
              <w:top w:w="15" w:type="dxa"/>
              <w:left w:w="0" w:type="dxa"/>
              <w:bottom w:w="0" w:type="dxa"/>
              <w:right w:w="15" w:type="dxa"/>
            </w:tcMar>
            <w:vAlign w:val="bottom"/>
          </w:tcPr>
          <w:p w14:paraId="1D980823"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6C7CE414" w14:textId="77777777" w:rsidR="009A5AEC" w:rsidRDefault="00000000">
            <w:pPr>
              <w:pStyle w:val="Normal0"/>
              <w:rPr>
                <w:color w:val="000000"/>
                <w:sz w:val="20"/>
              </w:rPr>
            </w:pPr>
            <w:r>
              <w:rPr>
                <w:color w:val="000000"/>
                <w:sz w:val="20"/>
              </w:rPr>
              <w:t xml:space="preserve"> </w:t>
            </w:r>
          </w:p>
        </w:tc>
        <w:tc>
          <w:tcPr>
            <w:tcW w:w="88" w:type="pct"/>
            <w:shd w:val="clear" w:color="auto" w:fill="FFFFFF"/>
            <w:tcMar>
              <w:top w:w="15" w:type="dxa"/>
              <w:left w:w="0" w:type="dxa"/>
              <w:bottom w:w="0" w:type="dxa"/>
              <w:right w:w="15" w:type="dxa"/>
            </w:tcMar>
            <w:vAlign w:val="bottom"/>
          </w:tcPr>
          <w:p w14:paraId="0E46CA68"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4CCFA410" w14:textId="77777777" w:rsidR="009A5AEC" w:rsidRDefault="00000000">
            <w:pPr>
              <w:pStyle w:val="Normal0"/>
              <w:rPr>
                <w:color w:val="000000"/>
                <w:sz w:val="20"/>
              </w:rPr>
            </w:pPr>
            <w:r>
              <w:rPr>
                <w:color w:val="000000"/>
                <w:sz w:val="20"/>
              </w:rPr>
              <w:t xml:space="preserve"> </w:t>
            </w:r>
          </w:p>
        </w:tc>
        <w:tc>
          <w:tcPr>
            <w:tcW w:w="611" w:type="pct"/>
            <w:shd w:val="clear" w:color="auto" w:fill="FFFFFF"/>
            <w:noWrap/>
            <w:tcMar>
              <w:top w:w="15" w:type="dxa"/>
              <w:left w:w="0" w:type="dxa"/>
              <w:bottom w:w="0" w:type="dxa"/>
              <w:right w:w="15" w:type="dxa"/>
            </w:tcMar>
            <w:vAlign w:val="bottom"/>
          </w:tcPr>
          <w:p w14:paraId="54D5E110"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2C280831" w14:textId="77777777" w:rsidR="009A5AEC" w:rsidRDefault="00000000">
            <w:pPr>
              <w:pStyle w:val="Normal0"/>
              <w:rPr>
                <w:color w:val="000000"/>
                <w:sz w:val="20"/>
              </w:rPr>
            </w:pPr>
            <w:r>
              <w:rPr>
                <w:color w:val="000000"/>
                <w:sz w:val="2"/>
              </w:rPr>
              <w:t xml:space="preserve"> </w:t>
            </w:r>
          </w:p>
        </w:tc>
      </w:tr>
    </w:tbl>
    <w:p w14:paraId="20B5EA29" w14:textId="77777777" w:rsidR="00CC44A9" w:rsidRDefault="00CC44A9" w:rsidP="005F0D08">
      <w:pPr>
        <w:pStyle w:val="BodyText0"/>
        <w:autoSpaceDE w:val="0"/>
        <w:autoSpaceDN w:val="0"/>
        <w:adjustRightInd w:val="0"/>
        <w:spacing w:after="0"/>
        <w:jc w:val="center"/>
        <w:rPr>
          <w:sz w:val="22"/>
          <w:szCs w:val="22"/>
        </w:rPr>
      </w:pPr>
    </w:p>
    <w:p w14:paraId="7DE4E216" w14:textId="77777777" w:rsidR="00096D3C" w:rsidRPr="00BD49D8" w:rsidRDefault="00000000" w:rsidP="00BD49D8">
      <w:pPr>
        <w:pStyle w:val="Normal0"/>
        <w:spacing w:after="120"/>
        <w:rPr>
          <w:b/>
          <w:sz w:val="20"/>
          <w:szCs w:val="20"/>
        </w:rPr>
      </w:pPr>
      <w:bookmarkStart w:id="2" w:name="_Aci_An1_284129"/>
      <w:bookmarkEnd w:id="2"/>
      <w:r>
        <w:rPr>
          <w:b/>
          <w:sz w:val="22"/>
          <w:szCs w:val="22"/>
        </w:rPr>
        <w:br w:type="page"/>
      </w:r>
      <w:bookmarkStart w:id="3" w:name="_Hlk87445397"/>
      <w:r w:rsidRPr="00DA0DE2">
        <w:rPr>
          <w:b/>
          <w:sz w:val="20"/>
          <w:szCs w:val="20"/>
        </w:rPr>
        <w:lastRenderedPageBreak/>
        <w:t>Reconciliations of GAAP to Non-GAAP Measures</w:t>
      </w:r>
      <w:bookmarkEnd w:id="3"/>
    </w:p>
    <w:p w14:paraId="50C252DD" w14:textId="77777777" w:rsidR="00231E8A" w:rsidRPr="00DA0DE2" w:rsidRDefault="00000000" w:rsidP="00DE221F">
      <w:pPr>
        <w:pStyle w:val="Normal0"/>
        <w:spacing w:after="120"/>
        <w:jc w:val="both"/>
        <w:rPr>
          <w:sz w:val="20"/>
          <w:szCs w:val="20"/>
        </w:rPr>
      </w:pPr>
      <w:r>
        <w:rPr>
          <w:sz w:val="20"/>
          <w:szCs w:val="20"/>
        </w:rPr>
        <w:t xml:space="preserve">To </w:t>
      </w:r>
      <w:r w:rsidR="00EB3B00" w:rsidRPr="00DA0DE2">
        <w:rPr>
          <w:sz w:val="20"/>
          <w:szCs w:val="20"/>
        </w:rPr>
        <w:t>supplement our consolidated financial statements presented on a GAAP</w:t>
      </w:r>
      <w:r w:rsidR="00283259" w:rsidRPr="00DA0DE2">
        <w:rPr>
          <w:sz w:val="20"/>
          <w:szCs w:val="20"/>
        </w:rPr>
        <w:t xml:space="preserve"> </w:t>
      </w:r>
      <w:r w:rsidR="0031288A" w:rsidRPr="00DA0DE2">
        <w:rPr>
          <w:sz w:val="20"/>
          <w:szCs w:val="20"/>
        </w:rPr>
        <w:t>(generally accepted accounting principles)</w:t>
      </w:r>
      <w:r w:rsidR="00EB3B00" w:rsidRPr="00DA0DE2">
        <w:rPr>
          <w:sz w:val="20"/>
          <w:szCs w:val="20"/>
        </w:rPr>
        <w:t xml:space="preserve"> basis, the Company uses certain non-GAAP measures, including Adjusted EBITDA, which we define as </w:t>
      </w:r>
      <w:r w:rsidR="00826EA5">
        <w:rPr>
          <w:sz w:val="20"/>
          <w:szCs w:val="20"/>
        </w:rPr>
        <w:t xml:space="preserve">(loss) income before taxes </w:t>
      </w:r>
      <w:r w:rsidR="00EB3B00" w:rsidRPr="00DA0DE2">
        <w:rPr>
          <w:sz w:val="20"/>
          <w:szCs w:val="20"/>
        </w:rPr>
        <w:t xml:space="preserve">adjusted to exclude depreciation and amortization expense, interest income </w:t>
      </w:r>
      <w:r w:rsidR="00167BE2">
        <w:rPr>
          <w:sz w:val="20"/>
          <w:szCs w:val="20"/>
        </w:rPr>
        <w:t xml:space="preserve">and </w:t>
      </w:r>
      <w:r w:rsidR="00EB3B00" w:rsidRPr="00DA0DE2">
        <w:rPr>
          <w:sz w:val="20"/>
          <w:szCs w:val="20"/>
        </w:rPr>
        <w:t>expense, income taxes</w:t>
      </w:r>
      <w:r w:rsidR="00B7797F" w:rsidRPr="00B7797F">
        <w:rPr>
          <w:sz w:val="20"/>
          <w:szCs w:val="20"/>
        </w:rPr>
        <w:t xml:space="preserve"> </w:t>
      </w:r>
      <w:r w:rsidR="00B7797F">
        <w:rPr>
          <w:sz w:val="20"/>
          <w:szCs w:val="20"/>
        </w:rPr>
        <w:t>expense</w:t>
      </w:r>
      <w:r w:rsidR="00B7797F" w:rsidRPr="00DA0DE2">
        <w:rPr>
          <w:sz w:val="20"/>
          <w:szCs w:val="20"/>
        </w:rPr>
        <w:t xml:space="preserve"> </w:t>
      </w:r>
      <w:r w:rsidR="00167BE2">
        <w:rPr>
          <w:sz w:val="20"/>
          <w:szCs w:val="20"/>
        </w:rPr>
        <w:t>(</w:t>
      </w:r>
      <w:r w:rsidR="00B7797F" w:rsidRPr="00DA0DE2">
        <w:rPr>
          <w:sz w:val="20"/>
          <w:szCs w:val="20"/>
        </w:rPr>
        <w:t>benefit)</w:t>
      </w:r>
      <w:r w:rsidR="00EB3B00" w:rsidRPr="00DA0DE2">
        <w:rPr>
          <w:sz w:val="20"/>
          <w:szCs w:val="20"/>
        </w:rPr>
        <w:t>, stock-based compensation expense</w:t>
      </w:r>
      <w:r w:rsidR="009A1A48" w:rsidRPr="00DA0DE2">
        <w:rPr>
          <w:sz w:val="20"/>
          <w:szCs w:val="20"/>
        </w:rPr>
        <w:t>, investment income</w:t>
      </w:r>
      <w:r w:rsidR="006C65C7">
        <w:rPr>
          <w:sz w:val="20"/>
          <w:szCs w:val="20"/>
        </w:rPr>
        <w:t xml:space="preserve"> and loss,</w:t>
      </w:r>
      <w:r w:rsidR="00EB3B00" w:rsidRPr="00DA0DE2">
        <w:rPr>
          <w:sz w:val="20"/>
          <w:szCs w:val="20"/>
        </w:rPr>
        <w:t xml:space="preserve"> and other items we believe are discrete events which have a significant impact on comparable GAAP measures and could distort an evaluation of our normal operating performance. These adjustments to our GAAP results are made with the intent of providing both management and investors a more complete understanding of the underlying operational results and trends and our marketplace performance. The presentation of this additional information is not meant to be considered in isolation or as a substitute for net earnings or diluted earnings per share prepared in accordance with </w:t>
      </w:r>
      <w:r w:rsidR="006A6ED8">
        <w:rPr>
          <w:sz w:val="20"/>
          <w:szCs w:val="20"/>
        </w:rPr>
        <w:t>GAAP</w:t>
      </w:r>
      <w:r w:rsidR="00EB3B00" w:rsidRPr="00DA0DE2">
        <w:rPr>
          <w:sz w:val="20"/>
          <w:szCs w:val="20"/>
        </w:rPr>
        <w:t>.</w:t>
      </w:r>
    </w:p>
    <w:p w14:paraId="49F1BF47" w14:textId="77777777" w:rsidR="00D023A8" w:rsidRPr="00DA0DE2" w:rsidRDefault="00000000" w:rsidP="00683988">
      <w:pPr>
        <w:pStyle w:val="Normal0"/>
        <w:spacing w:after="120"/>
        <w:rPr>
          <w:sz w:val="20"/>
          <w:szCs w:val="20"/>
          <w:u w:val="single"/>
        </w:rPr>
      </w:pPr>
      <w:r w:rsidRPr="00DA0DE2">
        <w:rPr>
          <w:sz w:val="20"/>
          <w:szCs w:val="20"/>
          <w:u w:val="single"/>
        </w:rPr>
        <w:t xml:space="preserve">Reconciliation of GAAP </w:t>
      </w:r>
      <w:r w:rsidR="00DF4E04" w:rsidRPr="00DA0DE2">
        <w:rPr>
          <w:sz w:val="20"/>
          <w:szCs w:val="20"/>
          <w:u w:val="single"/>
        </w:rPr>
        <w:t xml:space="preserve">Income </w:t>
      </w:r>
      <w:r w:rsidR="008C7A81" w:rsidRPr="00DA0DE2">
        <w:rPr>
          <w:sz w:val="20"/>
          <w:szCs w:val="20"/>
          <w:u w:val="single"/>
        </w:rPr>
        <w:t xml:space="preserve">Before Income Taxes </w:t>
      </w:r>
      <w:r w:rsidR="00AD23EA" w:rsidRPr="00DA0DE2">
        <w:rPr>
          <w:sz w:val="20"/>
          <w:szCs w:val="20"/>
          <w:u w:val="single"/>
        </w:rPr>
        <w:t>to Non-GAAP Adjusted EBITDA</w:t>
      </w:r>
      <w:r w:rsidR="00231E8A" w:rsidRPr="00DA0DE2">
        <w:rPr>
          <w:sz w:val="20"/>
          <w:szCs w:val="20"/>
          <w:u w:val="single"/>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0" w:type="dxa"/>
          <w:right w:w="15" w:type="dxa"/>
        </w:tblCellMar>
        <w:tblLook w:val="04A0" w:firstRow="1" w:lastRow="0" w:firstColumn="1" w:lastColumn="0" w:noHBand="0" w:noVBand="1"/>
      </w:tblPr>
      <w:tblGrid>
        <w:gridCol w:w="5704"/>
        <w:gridCol w:w="157"/>
        <w:gridCol w:w="115"/>
        <w:gridCol w:w="1467"/>
        <w:gridCol w:w="88"/>
        <w:gridCol w:w="157"/>
        <w:gridCol w:w="115"/>
        <w:gridCol w:w="1469"/>
        <w:gridCol w:w="88"/>
      </w:tblGrid>
      <w:tr w:rsidR="003116D1" w14:paraId="2F53FDED" w14:textId="77777777">
        <w:trPr>
          <w:cantSplit/>
          <w:jc w:val="center"/>
        </w:trPr>
        <w:tc>
          <w:tcPr>
            <w:tcW w:w="3050" w:type="pct"/>
            <w:shd w:val="clear" w:color="auto" w:fill="FFFFFF"/>
            <w:tcMar>
              <w:top w:w="15" w:type="dxa"/>
              <w:left w:w="0" w:type="dxa"/>
              <w:bottom w:w="0" w:type="dxa"/>
              <w:right w:w="15" w:type="dxa"/>
            </w:tcMar>
            <w:vAlign w:val="bottom"/>
          </w:tcPr>
          <w:p w14:paraId="5A43DC36" w14:textId="77777777" w:rsidR="009A5AEC" w:rsidRDefault="00000000">
            <w:pPr>
              <w:pStyle w:val="Normal0"/>
              <w:keepNext/>
              <w:rPr>
                <w:b/>
                <w:color w:val="000000"/>
                <w:sz w:val="20"/>
              </w:rPr>
            </w:pPr>
            <w:r>
              <w:rPr>
                <w:sz w:val="22"/>
                <w:szCs w:val="22"/>
              </w:rPr>
              <w:t xml:space="preserve"> </w:t>
            </w:r>
          </w:p>
        </w:tc>
        <w:tc>
          <w:tcPr>
            <w:tcW w:w="87" w:type="pct"/>
            <w:shd w:val="clear" w:color="auto" w:fill="FFFFFF"/>
            <w:tcMar>
              <w:top w:w="15" w:type="dxa"/>
              <w:left w:w="0" w:type="dxa"/>
              <w:bottom w:w="0" w:type="dxa"/>
              <w:right w:w="15" w:type="dxa"/>
            </w:tcMar>
            <w:vAlign w:val="bottom"/>
          </w:tcPr>
          <w:p w14:paraId="7863E027" w14:textId="77777777" w:rsidR="009A5AEC" w:rsidRDefault="00000000">
            <w:pPr>
              <w:pStyle w:val="Normal0"/>
              <w:rPr>
                <w:color w:val="000000"/>
                <w:sz w:val="20"/>
              </w:rPr>
            </w:pPr>
            <w:r>
              <w:rPr>
                <w:color w:val="000000"/>
                <w:sz w:val="20"/>
              </w:rPr>
              <w:t xml:space="preserve"> </w:t>
            </w:r>
          </w:p>
        </w:tc>
        <w:tc>
          <w:tcPr>
            <w:tcW w:w="1812" w:type="pct"/>
            <w:gridSpan w:val="6"/>
            <w:tcBorders>
              <w:bottom w:val="single" w:sz="2" w:space="0" w:color="000000"/>
            </w:tcBorders>
            <w:shd w:val="clear" w:color="auto" w:fill="FFFFFF"/>
            <w:tcMar>
              <w:top w:w="15" w:type="dxa"/>
              <w:left w:w="0" w:type="dxa"/>
              <w:bottom w:w="0" w:type="dxa"/>
              <w:right w:w="15" w:type="dxa"/>
            </w:tcMar>
            <w:vAlign w:val="bottom"/>
          </w:tcPr>
          <w:p w14:paraId="2A9B1E86" w14:textId="77777777" w:rsidR="009A5AEC" w:rsidRDefault="00000000">
            <w:pPr>
              <w:pStyle w:val="Normal0"/>
              <w:jc w:val="center"/>
              <w:rPr>
                <w:b/>
                <w:color w:val="000000"/>
                <w:sz w:val="20"/>
              </w:rPr>
            </w:pPr>
            <w:r>
              <w:rPr>
                <w:b/>
                <w:color w:val="000000"/>
                <w:sz w:val="20"/>
              </w:rPr>
              <w:t>For the Three Months Ended September 30,</w:t>
            </w:r>
          </w:p>
        </w:tc>
        <w:tc>
          <w:tcPr>
            <w:tcW w:w="50" w:type="pct"/>
            <w:shd w:val="clear" w:color="auto" w:fill="FFFFFF"/>
            <w:noWrap/>
            <w:tcMar>
              <w:top w:w="15" w:type="dxa"/>
              <w:left w:w="0" w:type="dxa"/>
              <w:bottom w:w="0" w:type="dxa"/>
              <w:right w:w="15" w:type="dxa"/>
            </w:tcMar>
            <w:vAlign w:val="bottom"/>
          </w:tcPr>
          <w:p w14:paraId="1BEEB2F4" w14:textId="77777777" w:rsidR="009A5AEC" w:rsidRDefault="00000000">
            <w:pPr>
              <w:pStyle w:val="Normal0"/>
              <w:rPr>
                <w:b/>
                <w:color w:val="000000"/>
                <w:sz w:val="20"/>
              </w:rPr>
            </w:pPr>
            <w:r>
              <w:rPr>
                <w:b/>
                <w:color w:val="000000"/>
                <w:sz w:val="20"/>
              </w:rPr>
              <w:t xml:space="preserve"> </w:t>
            </w:r>
          </w:p>
        </w:tc>
      </w:tr>
      <w:tr w:rsidR="003116D1" w14:paraId="01BC3CA3" w14:textId="77777777">
        <w:trPr>
          <w:cantSplit/>
          <w:jc w:val="center"/>
        </w:trPr>
        <w:tc>
          <w:tcPr>
            <w:tcW w:w="3050" w:type="pct"/>
            <w:shd w:val="clear" w:color="auto" w:fill="FFFFFF"/>
            <w:tcMar>
              <w:top w:w="15" w:type="dxa"/>
              <w:left w:w="0" w:type="dxa"/>
              <w:bottom w:w="0" w:type="dxa"/>
              <w:right w:w="15" w:type="dxa"/>
            </w:tcMar>
            <w:vAlign w:val="bottom"/>
          </w:tcPr>
          <w:p w14:paraId="44414B48" w14:textId="77777777" w:rsidR="009A5AEC" w:rsidRDefault="00000000">
            <w:pPr>
              <w:pStyle w:val="Normal0"/>
              <w:keepNext/>
              <w:rPr>
                <w:b/>
                <w:color w:val="000000"/>
                <w:sz w:val="20"/>
              </w:rPr>
            </w:pPr>
            <w:r>
              <w:rPr>
                <w:b/>
                <w:color w:val="000000"/>
                <w:sz w:val="20"/>
              </w:rPr>
              <w:t xml:space="preserve"> </w:t>
            </w:r>
          </w:p>
        </w:tc>
        <w:tc>
          <w:tcPr>
            <w:tcW w:w="87" w:type="pct"/>
            <w:shd w:val="clear" w:color="auto" w:fill="FFFFFF"/>
            <w:tcMar>
              <w:top w:w="15" w:type="dxa"/>
              <w:left w:w="0" w:type="dxa"/>
              <w:bottom w:w="0" w:type="dxa"/>
              <w:right w:w="15" w:type="dxa"/>
            </w:tcMar>
            <w:vAlign w:val="bottom"/>
          </w:tcPr>
          <w:p w14:paraId="17F1EF5C" w14:textId="77777777" w:rsidR="009A5AEC" w:rsidRDefault="00000000">
            <w:pPr>
              <w:pStyle w:val="Normal0"/>
              <w:rPr>
                <w:color w:val="000000"/>
                <w:sz w:val="20"/>
              </w:rPr>
            </w:pPr>
            <w:r>
              <w:rPr>
                <w:color w:val="000000"/>
                <w:sz w:val="20"/>
              </w:rPr>
              <w:t xml:space="preserve"> </w:t>
            </w:r>
          </w:p>
        </w:tc>
        <w:tc>
          <w:tcPr>
            <w:tcW w:w="837" w:type="pct"/>
            <w:gridSpan w:val="2"/>
            <w:tcBorders>
              <w:top w:val="single" w:sz="2" w:space="0" w:color="000000"/>
              <w:bottom w:val="single" w:sz="2" w:space="0" w:color="000000"/>
            </w:tcBorders>
            <w:shd w:val="clear" w:color="auto" w:fill="FFFFFF"/>
            <w:tcMar>
              <w:top w:w="15" w:type="dxa"/>
              <w:left w:w="0" w:type="dxa"/>
              <w:bottom w:w="0" w:type="dxa"/>
              <w:right w:w="15" w:type="dxa"/>
            </w:tcMar>
            <w:vAlign w:val="bottom"/>
          </w:tcPr>
          <w:p w14:paraId="37786CF8" w14:textId="77777777" w:rsidR="009A5AEC" w:rsidRDefault="00000000">
            <w:pPr>
              <w:pStyle w:val="Normal0"/>
              <w:jc w:val="center"/>
              <w:rPr>
                <w:b/>
                <w:color w:val="000000"/>
                <w:sz w:val="20"/>
              </w:rPr>
            </w:pPr>
            <w:r>
              <w:rPr>
                <w:b/>
                <w:color w:val="000000"/>
                <w:sz w:val="20"/>
              </w:rPr>
              <w:t>2022</w:t>
            </w:r>
          </w:p>
        </w:tc>
        <w:tc>
          <w:tcPr>
            <w:tcW w:w="50" w:type="pct"/>
            <w:shd w:val="clear" w:color="auto" w:fill="FFFFFF"/>
            <w:noWrap/>
            <w:tcMar>
              <w:top w:w="15" w:type="dxa"/>
              <w:left w:w="0" w:type="dxa"/>
              <w:bottom w:w="0" w:type="dxa"/>
              <w:right w:w="15" w:type="dxa"/>
            </w:tcMar>
            <w:vAlign w:val="bottom"/>
          </w:tcPr>
          <w:p w14:paraId="21F94A0D" w14:textId="77777777" w:rsidR="009A5AEC" w:rsidRDefault="00000000">
            <w:pPr>
              <w:pStyle w:val="Normal0"/>
              <w:rPr>
                <w:b/>
                <w:color w:val="000000"/>
                <w:sz w:val="20"/>
              </w:rPr>
            </w:pPr>
            <w:r>
              <w:rPr>
                <w:b/>
                <w:color w:val="000000"/>
                <w:sz w:val="20"/>
              </w:rPr>
              <w:t xml:space="preserve"> </w:t>
            </w:r>
          </w:p>
        </w:tc>
        <w:tc>
          <w:tcPr>
            <w:tcW w:w="87" w:type="pct"/>
            <w:tcBorders>
              <w:top w:val="single" w:sz="2" w:space="0" w:color="000000"/>
            </w:tcBorders>
            <w:shd w:val="clear" w:color="auto" w:fill="FFFFFF"/>
            <w:tcMar>
              <w:top w:w="15" w:type="dxa"/>
              <w:left w:w="0" w:type="dxa"/>
              <w:bottom w:w="0" w:type="dxa"/>
              <w:right w:w="15" w:type="dxa"/>
            </w:tcMar>
            <w:vAlign w:val="bottom"/>
          </w:tcPr>
          <w:p w14:paraId="739A9409" w14:textId="77777777" w:rsidR="009A5AEC" w:rsidRDefault="00000000">
            <w:pPr>
              <w:pStyle w:val="Normal0"/>
              <w:rPr>
                <w:color w:val="000000"/>
                <w:sz w:val="20"/>
              </w:rPr>
            </w:pPr>
            <w:r>
              <w:rPr>
                <w:color w:val="000000"/>
                <w:sz w:val="20"/>
              </w:rPr>
              <w:t xml:space="preserve"> </w:t>
            </w:r>
          </w:p>
        </w:tc>
        <w:tc>
          <w:tcPr>
            <w:tcW w:w="837" w:type="pct"/>
            <w:gridSpan w:val="2"/>
            <w:tcBorders>
              <w:top w:val="single" w:sz="2" w:space="0" w:color="000000"/>
              <w:bottom w:val="single" w:sz="2" w:space="0" w:color="000000"/>
            </w:tcBorders>
            <w:shd w:val="clear" w:color="auto" w:fill="FFFFFF"/>
            <w:tcMar>
              <w:top w:w="15" w:type="dxa"/>
              <w:left w:w="0" w:type="dxa"/>
              <w:bottom w:w="0" w:type="dxa"/>
              <w:right w:w="15" w:type="dxa"/>
            </w:tcMar>
            <w:vAlign w:val="bottom"/>
          </w:tcPr>
          <w:p w14:paraId="0C2E09C5" w14:textId="77777777" w:rsidR="009A5AEC" w:rsidRDefault="00000000">
            <w:pPr>
              <w:pStyle w:val="Normal0"/>
              <w:jc w:val="center"/>
              <w:rPr>
                <w:b/>
                <w:color w:val="000000"/>
                <w:sz w:val="20"/>
              </w:rPr>
            </w:pPr>
            <w:r>
              <w:rPr>
                <w:b/>
                <w:color w:val="000000"/>
                <w:sz w:val="20"/>
              </w:rPr>
              <w:t>2021</w:t>
            </w:r>
          </w:p>
        </w:tc>
        <w:tc>
          <w:tcPr>
            <w:tcW w:w="50" w:type="pct"/>
            <w:shd w:val="clear" w:color="auto" w:fill="FFFFFF"/>
            <w:noWrap/>
            <w:tcMar>
              <w:top w:w="15" w:type="dxa"/>
              <w:left w:w="0" w:type="dxa"/>
              <w:bottom w:w="0" w:type="dxa"/>
              <w:right w:w="15" w:type="dxa"/>
            </w:tcMar>
            <w:vAlign w:val="bottom"/>
          </w:tcPr>
          <w:p w14:paraId="5D397EA4" w14:textId="77777777" w:rsidR="009A5AEC" w:rsidRDefault="00000000">
            <w:pPr>
              <w:pStyle w:val="Normal0"/>
              <w:rPr>
                <w:b/>
                <w:color w:val="000000"/>
                <w:sz w:val="20"/>
              </w:rPr>
            </w:pPr>
            <w:r>
              <w:rPr>
                <w:b/>
                <w:color w:val="000000"/>
                <w:sz w:val="20"/>
              </w:rPr>
              <w:t xml:space="preserve"> </w:t>
            </w:r>
          </w:p>
        </w:tc>
      </w:tr>
      <w:tr w:rsidR="003116D1" w14:paraId="15A5F5BF" w14:textId="77777777">
        <w:trPr>
          <w:cantSplit/>
          <w:jc w:val="center"/>
        </w:trPr>
        <w:tc>
          <w:tcPr>
            <w:tcW w:w="3050" w:type="pct"/>
            <w:shd w:val="clear" w:color="auto" w:fill="FFFFFF"/>
            <w:tcMar>
              <w:top w:w="15" w:type="dxa"/>
              <w:left w:w="0" w:type="dxa"/>
              <w:bottom w:w="0" w:type="dxa"/>
              <w:right w:w="15" w:type="dxa"/>
            </w:tcMar>
            <w:vAlign w:val="bottom"/>
          </w:tcPr>
          <w:p w14:paraId="2D6EF1A3" w14:textId="77777777" w:rsidR="009A5AEC" w:rsidRDefault="00000000">
            <w:pPr>
              <w:pStyle w:val="Normal0"/>
              <w:keepNext/>
              <w:rPr>
                <w:b/>
                <w:color w:val="000000"/>
                <w:sz w:val="20"/>
              </w:rPr>
            </w:pPr>
            <w:r>
              <w:rPr>
                <w:b/>
                <w:color w:val="000000"/>
                <w:sz w:val="20"/>
              </w:rPr>
              <w:t xml:space="preserve"> (000's, except share and per share amounts)</w:t>
            </w:r>
          </w:p>
        </w:tc>
        <w:tc>
          <w:tcPr>
            <w:tcW w:w="87" w:type="pct"/>
            <w:shd w:val="clear" w:color="auto" w:fill="FFFFFF"/>
            <w:tcMar>
              <w:top w:w="15" w:type="dxa"/>
              <w:left w:w="0" w:type="dxa"/>
              <w:bottom w:w="0" w:type="dxa"/>
              <w:right w:w="15" w:type="dxa"/>
            </w:tcMar>
            <w:vAlign w:val="bottom"/>
          </w:tcPr>
          <w:p w14:paraId="1438CB71"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61E174A2" w14:textId="77777777" w:rsidR="009A5AEC" w:rsidRDefault="00000000">
            <w:pPr>
              <w:pStyle w:val="Normal0"/>
              <w:rPr>
                <w:color w:val="000000"/>
                <w:sz w:val="20"/>
              </w:rPr>
            </w:pPr>
            <w:r>
              <w:rPr>
                <w:color w:val="000000"/>
                <w:sz w:val="20"/>
              </w:rPr>
              <w:t xml:space="preserve"> </w:t>
            </w:r>
          </w:p>
        </w:tc>
        <w:tc>
          <w:tcPr>
            <w:tcW w:w="787" w:type="pct"/>
            <w:tcBorders>
              <w:top w:val="single" w:sz="2" w:space="0" w:color="000000"/>
            </w:tcBorders>
            <w:shd w:val="clear" w:color="auto" w:fill="FFFFFF"/>
            <w:noWrap/>
            <w:tcMar>
              <w:top w:w="15" w:type="dxa"/>
              <w:left w:w="0" w:type="dxa"/>
              <w:bottom w:w="0" w:type="dxa"/>
              <w:right w:w="15" w:type="dxa"/>
            </w:tcMar>
            <w:vAlign w:val="bottom"/>
          </w:tcPr>
          <w:p w14:paraId="214448BD"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53A744FD" w14:textId="77777777" w:rsidR="009A5AEC" w:rsidRDefault="00000000">
            <w:pPr>
              <w:pStyle w:val="Normal0"/>
              <w:rPr>
                <w:color w:val="000000"/>
                <w:sz w:val="20"/>
              </w:rPr>
            </w:pPr>
            <w:r>
              <w:rPr>
                <w:color w:val="000000"/>
                <w:sz w:val="20"/>
              </w:rPr>
              <w:t xml:space="preserve"> </w:t>
            </w:r>
          </w:p>
        </w:tc>
        <w:tc>
          <w:tcPr>
            <w:tcW w:w="87" w:type="pct"/>
            <w:shd w:val="clear" w:color="auto" w:fill="FFFFFF"/>
            <w:tcMar>
              <w:top w:w="15" w:type="dxa"/>
              <w:left w:w="0" w:type="dxa"/>
              <w:bottom w:w="0" w:type="dxa"/>
              <w:right w:w="15" w:type="dxa"/>
            </w:tcMar>
            <w:vAlign w:val="bottom"/>
          </w:tcPr>
          <w:p w14:paraId="530E7EF1"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6E28C601" w14:textId="77777777" w:rsidR="009A5AEC" w:rsidRDefault="00000000">
            <w:pPr>
              <w:pStyle w:val="Normal0"/>
              <w:rPr>
                <w:color w:val="000000"/>
                <w:sz w:val="20"/>
              </w:rPr>
            </w:pPr>
            <w:r>
              <w:rPr>
                <w:color w:val="000000"/>
                <w:sz w:val="20"/>
              </w:rPr>
              <w:t xml:space="preserve"> </w:t>
            </w:r>
          </w:p>
        </w:tc>
        <w:tc>
          <w:tcPr>
            <w:tcW w:w="787" w:type="pct"/>
            <w:tcBorders>
              <w:top w:val="single" w:sz="2" w:space="0" w:color="000000"/>
            </w:tcBorders>
            <w:shd w:val="clear" w:color="auto" w:fill="FFFFFF"/>
            <w:noWrap/>
            <w:tcMar>
              <w:top w:w="15" w:type="dxa"/>
              <w:left w:w="0" w:type="dxa"/>
              <w:bottom w:w="0" w:type="dxa"/>
              <w:right w:w="15" w:type="dxa"/>
            </w:tcMar>
            <w:vAlign w:val="bottom"/>
          </w:tcPr>
          <w:p w14:paraId="2D410821"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32E1A5E4" w14:textId="77777777" w:rsidR="009A5AEC" w:rsidRDefault="00000000">
            <w:pPr>
              <w:pStyle w:val="Normal0"/>
              <w:rPr>
                <w:color w:val="000000"/>
                <w:sz w:val="20"/>
              </w:rPr>
            </w:pPr>
            <w:r>
              <w:rPr>
                <w:color w:val="000000"/>
                <w:sz w:val="20"/>
              </w:rPr>
              <w:t xml:space="preserve"> </w:t>
            </w:r>
          </w:p>
        </w:tc>
      </w:tr>
      <w:tr w:rsidR="003116D1" w14:paraId="396324EF" w14:textId="77777777">
        <w:trPr>
          <w:cantSplit/>
          <w:jc w:val="center"/>
        </w:trPr>
        <w:tc>
          <w:tcPr>
            <w:tcW w:w="3050" w:type="pct"/>
            <w:shd w:val="clear" w:color="auto" w:fill="FFFFFF"/>
            <w:tcMar>
              <w:top w:w="15" w:type="dxa"/>
              <w:left w:w="0" w:type="dxa"/>
              <w:bottom w:w="0" w:type="dxa"/>
              <w:right w:w="15" w:type="dxa"/>
            </w:tcMar>
            <w:vAlign w:val="bottom"/>
          </w:tcPr>
          <w:p w14:paraId="1AD152AB" w14:textId="77777777" w:rsidR="009A5AEC" w:rsidRDefault="00000000">
            <w:pPr>
              <w:pStyle w:val="Normal0"/>
              <w:keepNext/>
              <w:rPr>
                <w:color w:val="000000"/>
                <w:sz w:val="20"/>
              </w:rPr>
            </w:pPr>
            <w:r>
              <w:rPr>
                <w:color w:val="000000"/>
                <w:sz w:val="20"/>
              </w:rPr>
              <w:t xml:space="preserve"> </w:t>
            </w:r>
            <w:r w:rsidR="00826EA5">
              <w:rPr>
                <w:color w:val="000000"/>
                <w:sz w:val="20"/>
              </w:rPr>
              <w:t>(</w:t>
            </w:r>
            <w:r>
              <w:rPr>
                <w:color w:val="000000"/>
                <w:sz w:val="20"/>
              </w:rPr>
              <w:t>Loss</w:t>
            </w:r>
            <w:r w:rsidR="00826EA5">
              <w:rPr>
                <w:color w:val="000000"/>
                <w:sz w:val="20"/>
              </w:rPr>
              <w:t>)</w:t>
            </w:r>
            <w:r>
              <w:rPr>
                <w:color w:val="000000"/>
                <w:sz w:val="20"/>
              </w:rPr>
              <w:t xml:space="preserve"> income</w:t>
            </w:r>
            <w:r w:rsidR="00826EA5">
              <w:rPr>
                <w:color w:val="000000"/>
                <w:sz w:val="20"/>
              </w:rPr>
              <w:t xml:space="preserve"> </w:t>
            </w:r>
            <w:r>
              <w:rPr>
                <w:color w:val="000000"/>
                <w:sz w:val="20"/>
              </w:rPr>
              <w:t>before income taxes</w:t>
            </w:r>
          </w:p>
        </w:tc>
        <w:tc>
          <w:tcPr>
            <w:tcW w:w="87" w:type="pct"/>
            <w:shd w:val="clear" w:color="auto" w:fill="FFFFFF"/>
            <w:tcMar>
              <w:top w:w="15" w:type="dxa"/>
              <w:left w:w="0" w:type="dxa"/>
              <w:bottom w:w="0" w:type="dxa"/>
              <w:right w:w="15" w:type="dxa"/>
            </w:tcMar>
            <w:vAlign w:val="bottom"/>
          </w:tcPr>
          <w:p w14:paraId="6B5D1906"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6D95F024" w14:textId="77777777" w:rsidR="009A5AEC" w:rsidRDefault="00000000">
            <w:pPr>
              <w:pStyle w:val="Normal0"/>
              <w:rPr>
                <w:color w:val="000000"/>
                <w:sz w:val="20"/>
              </w:rPr>
            </w:pPr>
            <w:r>
              <w:rPr>
                <w:color w:val="000000"/>
                <w:sz w:val="20"/>
              </w:rPr>
              <w:t>$</w:t>
            </w:r>
          </w:p>
        </w:tc>
        <w:tc>
          <w:tcPr>
            <w:tcW w:w="787" w:type="pct"/>
            <w:shd w:val="clear" w:color="auto" w:fill="FFFFFF"/>
            <w:noWrap/>
            <w:tcMar>
              <w:top w:w="15" w:type="dxa"/>
              <w:left w:w="0" w:type="dxa"/>
              <w:bottom w:w="0" w:type="dxa"/>
              <w:right w:w="15" w:type="dxa"/>
            </w:tcMar>
            <w:vAlign w:val="bottom"/>
          </w:tcPr>
          <w:p w14:paraId="2C2A83C0" w14:textId="77777777" w:rsidR="009A5AEC" w:rsidRDefault="00000000">
            <w:pPr>
              <w:pStyle w:val="Normal0"/>
              <w:jc w:val="right"/>
              <w:rPr>
                <w:color w:val="000000"/>
                <w:sz w:val="20"/>
              </w:rPr>
            </w:pPr>
            <w:r>
              <w:rPr>
                <w:color w:val="000000"/>
                <w:sz w:val="20"/>
              </w:rPr>
              <w:t>(1,962</w:t>
            </w:r>
          </w:p>
        </w:tc>
        <w:tc>
          <w:tcPr>
            <w:tcW w:w="50" w:type="pct"/>
            <w:shd w:val="clear" w:color="auto" w:fill="FFFFFF"/>
            <w:noWrap/>
            <w:tcMar>
              <w:top w:w="15" w:type="dxa"/>
              <w:left w:w="0" w:type="dxa"/>
              <w:bottom w:w="0" w:type="dxa"/>
              <w:right w:w="15" w:type="dxa"/>
            </w:tcMar>
            <w:vAlign w:val="bottom"/>
          </w:tcPr>
          <w:p w14:paraId="760D1B2A" w14:textId="77777777" w:rsidR="009A5AEC" w:rsidRDefault="00000000">
            <w:pPr>
              <w:pStyle w:val="Normal0"/>
              <w:rPr>
                <w:color w:val="000000"/>
                <w:sz w:val="20"/>
              </w:rPr>
            </w:pPr>
            <w:r>
              <w:rPr>
                <w:color w:val="000000"/>
                <w:sz w:val="20"/>
              </w:rPr>
              <w:t>)</w:t>
            </w:r>
          </w:p>
        </w:tc>
        <w:tc>
          <w:tcPr>
            <w:tcW w:w="87" w:type="pct"/>
            <w:shd w:val="clear" w:color="auto" w:fill="FFFFFF"/>
            <w:tcMar>
              <w:top w:w="15" w:type="dxa"/>
              <w:left w:w="0" w:type="dxa"/>
              <w:bottom w:w="0" w:type="dxa"/>
              <w:right w:w="15" w:type="dxa"/>
            </w:tcMar>
            <w:vAlign w:val="bottom"/>
          </w:tcPr>
          <w:p w14:paraId="6FD7FFDC"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4C7F8073" w14:textId="77777777" w:rsidR="009A5AEC" w:rsidRDefault="00000000">
            <w:pPr>
              <w:pStyle w:val="Normal0"/>
              <w:rPr>
                <w:color w:val="000000"/>
                <w:sz w:val="20"/>
              </w:rPr>
            </w:pPr>
            <w:r>
              <w:rPr>
                <w:color w:val="000000"/>
                <w:sz w:val="20"/>
              </w:rPr>
              <w:t>$</w:t>
            </w:r>
          </w:p>
        </w:tc>
        <w:tc>
          <w:tcPr>
            <w:tcW w:w="787" w:type="pct"/>
            <w:shd w:val="clear" w:color="auto" w:fill="FFFFFF"/>
            <w:noWrap/>
            <w:tcMar>
              <w:top w:w="15" w:type="dxa"/>
              <w:left w:w="0" w:type="dxa"/>
              <w:bottom w:w="0" w:type="dxa"/>
              <w:right w:w="15" w:type="dxa"/>
            </w:tcMar>
            <w:vAlign w:val="bottom"/>
          </w:tcPr>
          <w:p w14:paraId="526F9A69" w14:textId="77777777" w:rsidR="009A5AEC" w:rsidRDefault="00000000">
            <w:pPr>
              <w:pStyle w:val="Normal0"/>
              <w:jc w:val="right"/>
              <w:rPr>
                <w:color w:val="000000"/>
                <w:sz w:val="20"/>
              </w:rPr>
            </w:pPr>
            <w:r>
              <w:rPr>
                <w:color w:val="000000"/>
                <w:sz w:val="20"/>
              </w:rPr>
              <w:t>40,829</w:t>
            </w:r>
          </w:p>
        </w:tc>
        <w:tc>
          <w:tcPr>
            <w:tcW w:w="50" w:type="pct"/>
            <w:shd w:val="clear" w:color="auto" w:fill="FFFFFF"/>
            <w:noWrap/>
            <w:tcMar>
              <w:top w:w="15" w:type="dxa"/>
              <w:left w:w="0" w:type="dxa"/>
              <w:bottom w:w="0" w:type="dxa"/>
              <w:right w:w="15" w:type="dxa"/>
            </w:tcMar>
            <w:vAlign w:val="bottom"/>
          </w:tcPr>
          <w:p w14:paraId="1E8397CC" w14:textId="77777777" w:rsidR="009A5AEC" w:rsidRDefault="00000000">
            <w:pPr>
              <w:pStyle w:val="Normal0"/>
              <w:rPr>
                <w:color w:val="000000"/>
                <w:sz w:val="20"/>
              </w:rPr>
            </w:pPr>
            <w:r>
              <w:rPr>
                <w:color w:val="000000"/>
                <w:sz w:val="20"/>
              </w:rPr>
              <w:t xml:space="preserve"> </w:t>
            </w:r>
          </w:p>
        </w:tc>
      </w:tr>
      <w:tr w:rsidR="003116D1" w14:paraId="763E44A8" w14:textId="77777777">
        <w:trPr>
          <w:cantSplit/>
          <w:jc w:val="center"/>
        </w:trPr>
        <w:tc>
          <w:tcPr>
            <w:tcW w:w="3050" w:type="pct"/>
            <w:shd w:val="clear" w:color="auto" w:fill="FFFFFF"/>
            <w:tcMar>
              <w:top w:w="15" w:type="dxa"/>
              <w:left w:w="0" w:type="dxa"/>
              <w:bottom w:w="0" w:type="dxa"/>
              <w:right w:w="15" w:type="dxa"/>
            </w:tcMar>
            <w:vAlign w:val="bottom"/>
          </w:tcPr>
          <w:p w14:paraId="2B8CA4AA" w14:textId="77777777" w:rsidR="009A5AEC" w:rsidRDefault="00000000">
            <w:pPr>
              <w:pStyle w:val="Normal0"/>
              <w:keepNext/>
              <w:ind w:left="274"/>
              <w:rPr>
                <w:color w:val="000000"/>
                <w:sz w:val="20"/>
              </w:rPr>
            </w:pPr>
            <w:r>
              <w:rPr>
                <w:color w:val="000000"/>
                <w:sz w:val="20"/>
              </w:rPr>
              <w:t xml:space="preserve"> Interest income </w:t>
            </w:r>
            <w:r w:rsidR="003F1BD7">
              <w:rPr>
                <w:color w:val="000000"/>
                <w:sz w:val="20"/>
              </w:rPr>
              <w:t>(</w:t>
            </w:r>
            <w:r>
              <w:rPr>
                <w:color w:val="000000"/>
                <w:sz w:val="20"/>
              </w:rPr>
              <w:t>expense</w:t>
            </w:r>
            <w:r w:rsidR="003F1BD7">
              <w:rPr>
                <w:color w:val="000000"/>
                <w:sz w:val="20"/>
              </w:rPr>
              <w:t>)</w:t>
            </w:r>
            <w:r>
              <w:rPr>
                <w:color w:val="000000"/>
                <w:sz w:val="20"/>
              </w:rPr>
              <w:t>, net</w:t>
            </w:r>
          </w:p>
        </w:tc>
        <w:tc>
          <w:tcPr>
            <w:tcW w:w="87" w:type="pct"/>
            <w:shd w:val="clear" w:color="auto" w:fill="FFFFFF"/>
            <w:tcMar>
              <w:top w:w="15" w:type="dxa"/>
              <w:left w:w="0" w:type="dxa"/>
              <w:bottom w:w="0" w:type="dxa"/>
              <w:right w:w="15" w:type="dxa"/>
            </w:tcMar>
            <w:vAlign w:val="bottom"/>
          </w:tcPr>
          <w:p w14:paraId="4D95DE4E"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097E3A4B" w14:textId="77777777" w:rsidR="009A5AEC" w:rsidRDefault="00000000">
            <w:pPr>
              <w:pStyle w:val="Normal0"/>
              <w:rPr>
                <w:color w:val="000000"/>
                <w:sz w:val="20"/>
              </w:rPr>
            </w:pPr>
            <w:r>
              <w:rPr>
                <w:color w:val="000000"/>
                <w:sz w:val="20"/>
              </w:rPr>
              <w:t xml:space="preserve"> </w:t>
            </w:r>
          </w:p>
        </w:tc>
        <w:tc>
          <w:tcPr>
            <w:tcW w:w="787" w:type="pct"/>
            <w:shd w:val="clear" w:color="auto" w:fill="FFFFFF"/>
            <w:noWrap/>
            <w:tcMar>
              <w:top w:w="15" w:type="dxa"/>
              <w:left w:w="0" w:type="dxa"/>
              <w:bottom w:w="0" w:type="dxa"/>
              <w:right w:w="15" w:type="dxa"/>
            </w:tcMar>
            <w:vAlign w:val="bottom"/>
          </w:tcPr>
          <w:p w14:paraId="4A8F0E8F" w14:textId="77777777" w:rsidR="009A5AEC" w:rsidRDefault="00000000">
            <w:pPr>
              <w:pStyle w:val="Normal0"/>
              <w:jc w:val="right"/>
              <w:rPr>
                <w:color w:val="000000"/>
                <w:sz w:val="20"/>
              </w:rPr>
            </w:pPr>
            <w:r>
              <w:rPr>
                <w:color w:val="000000"/>
                <w:sz w:val="20"/>
              </w:rPr>
              <w:t>(51</w:t>
            </w:r>
          </w:p>
        </w:tc>
        <w:tc>
          <w:tcPr>
            <w:tcW w:w="50" w:type="pct"/>
            <w:shd w:val="clear" w:color="auto" w:fill="FFFFFF"/>
            <w:noWrap/>
            <w:tcMar>
              <w:top w:w="15" w:type="dxa"/>
              <w:left w:w="0" w:type="dxa"/>
              <w:bottom w:w="0" w:type="dxa"/>
              <w:right w:w="15" w:type="dxa"/>
            </w:tcMar>
            <w:vAlign w:val="bottom"/>
          </w:tcPr>
          <w:p w14:paraId="6D2E7071" w14:textId="77777777" w:rsidR="009A5AEC" w:rsidRDefault="00000000">
            <w:pPr>
              <w:pStyle w:val="Normal0"/>
              <w:rPr>
                <w:color w:val="000000"/>
                <w:sz w:val="20"/>
              </w:rPr>
            </w:pPr>
            <w:r>
              <w:rPr>
                <w:color w:val="000000"/>
                <w:sz w:val="20"/>
              </w:rPr>
              <w:t>)</w:t>
            </w:r>
          </w:p>
        </w:tc>
        <w:tc>
          <w:tcPr>
            <w:tcW w:w="87" w:type="pct"/>
            <w:shd w:val="clear" w:color="auto" w:fill="FFFFFF"/>
            <w:tcMar>
              <w:top w:w="15" w:type="dxa"/>
              <w:left w:w="0" w:type="dxa"/>
              <w:bottom w:w="0" w:type="dxa"/>
              <w:right w:w="15" w:type="dxa"/>
            </w:tcMar>
            <w:vAlign w:val="bottom"/>
          </w:tcPr>
          <w:p w14:paraId="299C9FDB"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78AD5153" w14:textId="77777777" w:rsidR="009A5AEC" w:rsidRDefault="00000000">
            <w:pPr>
              <w:pStyle w:val="Normal0"/>
              <w:rPr>
                <w:color w:val="000000"/>
                <w:sz w:val="20"/>
              </w:rPr>
            </w:pPr>
            <w:r>
              <w:rPr>
                <w:color w:val="000000"/>
                <w:sz w:val="20"/>
              </w:rPr>
              <w:t xml:space="preserve"> </w:t>
            </w:r>
          </w:p>
        </w:tc>
        <w:tc>
          <w:tcPr>
            <w:tcW w:w="787" w:type="pct"/>
            <w:shd w:val="clear" w:color="auto" w:fill="FFFFFF"/>
            <w:noWrap/>
            <w:tcMar>
              <w:top w:w="15" w:type="dxa"/>
              <w:left w:w="0" w:type="dxa"/>
              <w:bottom w:w="0" w:type="dxa"/>
              <w:right w:w="15" w:type="dxa"/>
            </w:tcMar>
            <w:vAlign w:val="bottom"/>
          </w:tcPr>
          <w:p w14:paraId="2C15C2E8" w14:textId="77777777" w:rsidR="009A5AEC" w:rsidRDefault="00000000">
            <w:pPr>
              <w:pStyle w:val="Normal0"/>
              <w:jc w:val="right"/>
              <w:rPr>
                <w:color w:val="000000"/>
                <w:sz w:val="20"/>
              </w:rPr>
            </w:pPr>
            <w:r>
              <w:rPr>
                <w:color w:val="000000"/>
                <w:sz w:val="20"/>
              </w:rPr>
              <w:t>3</w:t>
            </w:r>
          </w:p>
        </w:tc>
        <w:tc>
          <w:tcPr>
            <w:tcW w:w="50" w:type="pct"/>
            <w:shd w:val="clear" w:color="auto" w:fill="FFFFFF"/>
            <w:noWrap/>
            <w:tcMar>
              <w:top w:w="15" w:type="dxa"/>
              <w:left w:w="0" w:type="dxa"/>
              <w:bottom w:w="0" w:type="dxa"/>
              <w:right w:w="15" w:type="dxa"/>
            </w:tcMar>
            <w:vAlign w:val="bottom"/>
          </w:tcPr>
          <w:p w14:paraId="59E30B88" w14:textId="77777777" w:rsidR="009A5AEC" w:rsidRDefault="00000000">
            <w:pPr>
              <w:pStyle w:val="Normal0"/>
              <w:rPr>
                <w:color w:val="000000"/>
                <w:sz w:val="20"/>
              </w:rPr>
            </w:pPr>
            <w:r>
              <w:rPr>
                <w:color w:val="000000"/>
                <w:sz w:val="20"/>
              </w:rPr>
              <w:t xml:space="preserve"> </w:t>
            </w:r>
          </w:p>
        </w:tc>
      </w:tr>
      <w:tr w:rsidR="003116D1" w14:paraId="14836305" w14:textId="77777777">
        <w:trPr>
          <w:cantSplit/>
          <w:jc w:val="center"/>
        </w:trPr>
        <w:tc>
          <w:tcPr>
            <w:tcW w:w="3050" w:type="pct"/>
            <w:shd w:val="clear" w:color="auto" w:fill="FFFFFF"/>
            <w:tcMar>
              <w:top w:w="15" w:type="dxa"/>
              <w:left w:w="0" w:type="dxa"/>
              <w:bottom w:w="0" w:type="dxa"/>
              <w:right w:w="15" w:type="dxa"/>
            </w:tcMar>
            <w:vAlign w:val="bottom"/>
          </w:tcPr>
          <w:p w14:paraId="4DDCE295" w14:textId="77777777" w:rsidR="009A5AEC" w:rsidRDefault="00000000">
            <w:pPr>
              <w:pStyle w:val="Normal0"/>
              <w:keepNext/>
              <w:ind w:left="274"/>
              <w:rPr>
                <w:color w:val="000000"/>
                <w:sz w:val="20"/>
              </w:rPr>
            </w:pPr>
            <w:r>
              <w:rPr>
                <w:color w:val="000000"/>
                <w:sz w:val="20"/>
              </w:rPr>
              <w:t xml:space="preserve"> Depreciation and amortization</w:t>
            </w:r>
          </w:p>
        </w:tc>
        <w:tc>
          <w:tcPr>
            <w:tcW w:w="87" w:type="pct"/>
            <w:shd w:val="clear" w:color="auto" w:fill="FFFFFF"/>
            <w:tcMar>
              <w:top w:w="15" w:type="dxa"/>
              <w:left w:w="0" w:type="dxa"/>
              <w:bottom w:w="0" w:type="dxa"/>
              <w:right w:w="15" w:type="dxa"/>
            </w:tcMar>
            <w:vAlign w:val="bottom"/>
          </w:tcPr>
          <w:p w14:paraId="2DED4A38"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034502E4" w14:textId="77777777" w:rsidR="009A5AEC" w:rsidRDefault="00000000">
            <w:pPr>
              <w:pStyle w:val="Normal0"/>
              <w:rPr>
                <w:color w:val="000000"/>
                <w:sz w:val="20"/>
              </w:rPr>
            </w:pPr>
            <w:r>
              <w:rPr>
                <w:color w:val="000000"/>
                <w:sz w:val="20"/>
              </w:rPr>
              <w:t xml:space="preserve"> </w:t>
            </w:r>
          </w:p>
        </w:tc>
        <w:tc>
          <w:tcPr>
            <w:tcW w:w="787" w:type="pct"/>
            <w:shd w:val="clear" w:color="auto" w:fill="FFFFFF"/>
            <w:noWrap/>
            <w:tcMar>
              <w:top w:w="15" w:type="dxa"/>
              <w:left w:w="0" w:type="dxa"/>
              <w:bottom w:w="0" w:type="dxa"/>
              <w:right w:w="15" w:type="dxa"/>
            </w:tcMar>
            <w:vAlign w:val="bottom"/>
          </w:tcPr>
          <w:p w14:paraId="098C8F51" w14:textId="77777777" w:rsidR="009A5AEC" w:rsidRDefault="00000000">
            <w:pPr>
              <w:pStyle w:val="Normal0"/>
              <w:jc w:val="right"/>
              <w:rPr>
                <w:color w:val="000000"/>
                <w:sz w:val="20"/>
              </w:rPr>
            </w:pPr>
            <w:r>
              <w:rPr>
                <w:color w:val="000000"/>
                <w:sz w:val="20"/>
              </w:rPr>
              <w:t>191</w:t>
            </w:r>
          </w:p>
        </w:tc>
        <w:tc>
          <w:tcPr>
            <w:tcW w:w="50" w:type="pct"/>
            <w:shd w:val="clear" w:color="auto" w:fill="FFFFFF"/>
            <w:noWrap/>
            <w:tcMar>
              <w:top w:w="15" w:type="dxa"/>
              <w:left w:w="0" w:type="dxa"/>
              <w:bottom w:w="0" w:type="dxa"/>
              <w:right w:w="15" w:type="dxa"/>
            </w:tcMar>
            <w:vAlign w:val="bottom"/>
          </w:tcPr>
          <w:p w14:paraId="7062C987" w14:textId="77777777" w:rsidR="009A5AEC" w:rsidRDefault="00000000">
            <w:pPr>
              <w:pStyle w:val="Normal0"/>
              <w:rPr>
                <w:color w:val="000000"/>
                <w:sz w:val="20"/>
              </w:rPr>
            </w:pPr>
            <w:r>
              <w:rPr>
                <w:color w:val="000000"/>
                <w:sz w:val="20"/>
              </w:rPr>
              <w:t xml:space="preserve"> </w:t>
            </w:r>
          </w:p>
        </w:tc>
        <w:tc>
          <w:tcPr>
            <w:tcW w:w="87" w:type="pct"/>
            <w:shd w:val="clear" w:color="auto" w:fill="FFFFFF"/>
            <w:tcMar>
              <w:top w:w="15" w:type="dxa"/>
              <w:left w:w="0" w:type="dxa"/>
              <w:bottom w:w="0" w:type="dxa"/>
              <w:right w:w="15" w:type="dxa"/>
            </w:tcMar>
            <w:vAlign w:val="bottom"/>
          </w:tcPr>
          <w:p w14:paraId="18DA2C3C"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04DFA93B" w14:textId="77777777" w:rsidR="009A5AEC" w:rsidRDefault="00000000">
            <w:pPr>
              <w:pStyle w:val="Normal0"/>
              <w:rPr>
                <w:color w:val="000000"/>
                <w:sz w:val="20"/>
              </w:rPr>
            </w:pPr>
            <w:r>
              <w:rPr>
                <w:color w:val="000000"/>
                <w:sz w:val="20"/>
              </w:rPr>
              <w:t xml:space="preserve"> </w:t>
            </w:r>
          </w:p>
        </w:tc>
        <w:tc>
          <w:tcPr>
            <w:tcW w:w="787" w:type="pct"/>
            <w:shd w:val="clear" w:color="auto" w:fill="FFFFFF"/>
            <w:noWrap/>
            <w:tcMar>
              <w:top w:w="15" w:type="dxa"/>
              <w:left w:w="0" w:type="dxa"/>
              <w:bottom w:w="0" w:type="dxa"/>
              <w:right w:w="15" w:type="dxa"/>
            </w:tcMar>
            <w:vAlign w:val="bottom"/>
          </w:tcPr>
          <w:p w14:paraId="136BEF17" w14:textId="77777777" w:rsidR="009A5AEC" w:rsidRDefault="00000000">
            <w:pPr>
              <w:pStyle w:val="Normal0"/>
              <w:jc w:val="right"/>
              <w:rPr>
                <w:color w:val="000000"/>
                <w:sz w:val="20"/>
              </w:rPr>
            </w:pPr>
            <w:r>
              <w:rPr>
                <w:color w:val="000000"/>
                <w:sz w:val="20"/>
              </w:rPr>
              <w:t>146</w:t>
            </w:r>
          </w:p>
        </w:tc>
        <w:tc>
          <w:tcPr>
            <w:tcW w:w="50" w:type="pct"/>
            <w:shd w:val="clear" w:color="auto" w:fill="FFFFFF"/>
            <w:noWrap/>
            <w:tcMar>
              <w:top w:w="15" w:type="dxa"/>
              <w:left w:w="0" w:type="dxa"/>
              <w:bottom w:w="0" w:type="dxa"/>
              <w:right w:w="15" w:type="dxa"/>
            </w:tcMar>
            <w:vAlign w:val="bottom"/>
          </w:tcPr>
          <w:p w14:paraId="2EBFF0BE" w14:textId="77777777" w:rsidR="009A5AEC" w:rsidRDefault="00000000">
            <w:pPr>
              <w:pStyle w:val="Normal0"/>
              <w:rPr>
                <w:color w:val="000000"/>
                <w:sz w:val="20"/>
              </w:rPr>
            </w:pPr>
            <w:r>
              <w:rPr>
                <w:color w:val="000000"/>
                <w:sz w:val="20"/>
              </w:rPr>
              <w:t xml:space="preserve"> </w:t>
            </w:r>
          </w:p>
        </w:tc>
      </w:tr>
      <w:tr w:rsidR="003116D1" w14:paraId="35C4FADF" w14:textId="77777777">
        <w:trPr>
          <w:cantSplit/>
          <w:jc w:val="center"/>
        </w:trPr>
        <w:tc>
          <w:tcPr>
            <w:tcW w:w="3050" w:type="pct"/>
            <w:shd w:val="clear" w:color="auto" w:fill="FFFFFF"/>
            <w:tcMar>
              <w:top w:w="15" w:type="dxa"/>
              <w:left w:w="0" w:type="dxa"/>
              <w:bottom w:w="0" w:type="dxa"/>
              <w:right w:w="15" w:type="dxa"/>
            </w:tcMar>
            <w:vAlign w:val="bottom"/>
          </w:tcPr>
          <w:p w14:paraId="0F7A80EC" w14:textId="77777777" w:rsidR="009A5AEC" w:rsidRDefault="00000000">
            <w:pPr>
              <w:pStyle w:val="Normal0"/>
              <w:keepNext/>
              <w:ind w:left="274"/>
              <w:rPr>
                <w:color w:val="000000"/>
                <w:sz w:val="20"/>
              </w:rPr>
            </w:pPr>
            <w:r>
              <w:rPr>
                <w:color w:val="000000"/>
                <w:sz w:val="20"/>
              </w:rPr>
              <w:t xml:space="preserve"> Non-cash stock compensation</w:t>
            </w:r>
          </w:p>
        </w:tc>
        <w:tc>
          <w:tcPr>
            <w:tcW w:w="87" w:type="pct"/>
            <w:shd w:val="clear" w:color="auto" w:fill="FFFFFF"/>
            <w:tcMar>
              <w:top w:w="15" w:type="dxa"/>
              <w:left w:w="0" w:type="dxa"/>
              <w:bottom w:w="0" w:type="dxa"/>
              <w:right w:w="15" w:type="dxa"/>
            </w:tcMar>
            <w:vAlign w:val="bottom"/>
          </w:tcPr>
          <w:p w14:paraId="69B0A9DC"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39714BBE" w14:textId="77777777" w:rsidR="009A5AEC" w:rsidRDefault="00000000">
            <w:pPr>
              <w:pStyle w:val="Normal0"/>
              <w:rPr>
                <w:color w:val="000000"/>
                <w:sz w:val="20"/>
              </w:rPr>
            </w:pPr>
            <w:r>
              <w:rPr>
                <w:color w:val="000000"/>
                <w:sz w:val="20"/>
              </w:rPr>
              <w:t xml:space="preserve"> </w:t>
            </w:r>
          </w:p>
        </w:tc>
        <w:tc>
          <w:tcPr>
            <w:tcW w:w="787" w:type="pct"/>
            <w:shd w:val="clear" w:color="auto" w:fill="FFFFFF"/>
            <w:noWrap/>
            <w:tcMar>
              <w:top w:w="15" w:type="dxa"/>
              <w:left w:w="0" w:type="dxa"/>
              <w:bottom w:w="0" w:type="dxa"/>
              <w:right w:w="15" w:type="dxa"/>
            </w:tcMar>
            <w:vAlign w:val="bottom"/>
          </w:tcPr>
          <w:p w14:paraId="4A73844D" w14:textId="77777777" w:rsidR="009A5AEC" w:rsidRDefault="00000000">
            <w:pPr>
              <w:pStyle w:val="Normal0"/>
              <w:jc w:val="right"/>
              <w:rPr>
                <w:color w:val="000000"/>
                <w:sz w:val="20"/>
              </w:rPr>
            </w:pPr>
            <w:r>
              <w:rPr>
                <w:color w:val="000000"/>
                <w:sz w:val="20"/>
              </w:rPr>
              <w:t>80</w:t>
            </w:r>
          </w:p>
        </w:tc>
        <w:tc>
          <w:tcPr>
            <w:tcW w:w="50" w:type="pct"/>
            <w:shd w:val="clear" w:color="auto" w:fill="FFFFFF"/>
            <w:noWrap/>
            <w:tcMar>
              <w:top w:w="15" w:type="dxa"/>
              <w:left w:w="0" w:type="dxa"/>
              <w:bottom w:w="0" w:type="dxa"/>
              <w:right w:w="15" w:type="dxa"/>
            </w:tcMar>
            <w:vAlign w:val="bottom"/>
          </w:tcPr>
          <w:p w14:paraId="4CA7545D" w14:textId="77777777" w:rsidR="009A5AEC" w:rsidRDefault="00000000">
            <w:pPr>
              <w:pStyle w:val="Normal0"/>
              <w:rPr>
                <w:color w:val="000000"/>
                <w:sz w:val="20"/>
              </w:rPr>
            </w:pPr>
            <w:r>
              <w:rPr>
                <w:color w:val="000000"/>
                <w:sz w:val="20"/>
              </w:rPr>
              <w:t xml:space="preserve"> </w:t>
            </w:r>
          </w:p>
        </w:tc>
        <w:tc>
          <w:tcPr>
            <w:tcW w:w="87" w:type="pct"/>
            <w:shd w:val="clear" w:color="auto" w:fill="FFFFFF"/>
            <w:tcMar>
              <w:top w:w="15" w:type="dxa"/>
              <w:left w:w="0" w:type="dxa"/>
              <w:bottom w:w="0" w:type="dxa"/>
              <w:right w:w="15" w:type="dxa"/>
            </w:tcMar>
            <w:vAlign w:val="bottom"/>
          </w:tcPr>
          <w:p w14:paraId="4A5C5E2F"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54960837" w14:textId="77777777" w:rsidR="009A5AEC" w:rsidRDefault="00000000">
            <w:pPr>
              <w:pStyle w:val="Normal0"/>
              <w:rPr>
                <w:color w:val="000000"/>
                <w:sz w:val="20"/>
              </w:rPr>
            </w:pPr>
            <w:r>
              <w:rPr>
                <w:color w:val="000000"/>
                <w:sz w:val="20"/>
              </w:rPr>
              <w:t xml:space="preserve"> </w:t>
            </w:r>
          </w:p>
        </w:tc>
        <w:tc>
          <w:tcPr>
            <w:tcW w:w="787" w:type="pct"/>
            <w:shd w:val="clear" w:color="auto" w:fill="FFFFFF"/>
            <w:noWrap/>
            <w:tcMar>
              <w:top w:w="15" w:type="dxa"/>
              <w:left w:w="0" w:type="dxa"/>
              <w:bottom w:w="0" w:type="dxa"/>
              <w:right w:w="15" w:type="dxa"/>
            </w:tcMar>
            <w:vAlign w:val="bottom"/>
          </w:tcPr>
          <w:p w14:paraId="1AC60957" w14:textId="77777777" w:rsidR="009A5AEC" w:rsidRDefault="00000000">
            <w:pPr>
              <w:pStyle w:val="Normal0"/>
              <w:jc w:val="right"/>
              <w:rPr>
                <w:color w:val="000000"/>
                <w:sz w:val="20"/>
              </w:rPr>
            </w:pPr>
            <w:r>
              <w:rPr>
                <w:color w:val="000000"/>
                <w:sz w:val="20"/>
              </w:rPr>
              <w:t>19</w:t>
            </w:r>
          </w:p>
        </w:tc>
        <w:tc>
          <w:tcPr>
            <w:tcW w:w="50" w:type="pct"/>
            <w:shd w:val="clear" w:color="auto" w:fill="FFFFFF"/>
            <w:noWrap/>
            <w:tcMar>
              <w:top w:w="15" w:type="dxa"/>
              <w:left w:w="0" w:type="dxa"/>
              <w:bottom w:w="0" w:type="dxa"/>
              <w:right w:w="15" w:type="dxa"/>
            </w:tcMar>
            <w:vAlign w:val="bottom"/>
          </w:tcPr>
          <w:p w14:paraId="3A60FC8A" w14:textId="77777777" w:rsidR="009A5AEC" w:rsidRDefault="00000000">
            <w:pPr>
              <w:pStyle w:val="Normal0"/>
              <w:rPr>
                <w:color w:val="000000"/>
                <w:sz w:val="20"/>
              </w:rPr>
            </w:pPr>
            <w:r>
              <w:rPr>
                <w:color w:val="000000"/>
                <w:sz w:val="20"/>
              </w:rPr>
              <w:t xml:space="preserve"> </w:t>
            </w:r>
          </w:p>
        </w:tc>
      </w:tr>
      <w:tr w:rsidR="003116D1" w14:paraId="6E4A58DD" w14:textId="77777777">
        <w:trPr>
          <w:cantSplit/>
          <w:jc w:val="center"/>
        </w:trPr>
        <w:tc>
          <w:tcPr>
            <w:tcW w:w="3050" w:type="pct"/>
            <w:shd w:val="clear" w:color="auto" w:fill="FFFFFF"/>
            <w:tcMar>
              <w:top w:w="15" w:type="dxa"/>
              <w:left w:w="0" w:type="dxa"/>
              <w:bottom w:w="0" w:type="dxa"/>
              <w:right w:w="15" w:type="dxa"/>
            </w:tcMar>
            <w:vAlign w:val="bottom"/>
          </w:tcPr>
          <w:p w14:paraId="60D91474" w14:textId="77777777" w:rsidR="009A5AEC" w:rsidRDefault="00000000">
            <w:pPr>
              <w:pStyle w:val="Normal0"/>
              <w:keepNext/>
              <w:ind w:left="274"/>
              <w:rPr>
                <w:color w:val="000000"/>
                <w:sz w:val="20"/>
              </w:rPr>
            </w:pPr>
            <w:r>
              <w:rPr>
                <w:color w:val="000000"/>
                <w:sz w:val="20"/>
              </w:rPr>
              <w:t xml:space="preserve"> Gain on equity investment in unconsolidated subsidiary</w:t>
            </w:r>
          </w:p>
        </w:tc>
        <w:tc>
          <w:tcPr>
            <w:tcW w:w="87" w:type="pct"/>
            <w:shd w:val="clear" w:color="auto" w:fill="FFFFFF"/>
            <w:tcMar>
              <w:top w:w="15" w:type="dxa"/>
              <w:left w:w="0" w:type="dxa"/>
              <w:bottom w:w="0" w:type="dxa"/>
              <w:right w:w="15" w:type="dxa"/>
            </w:tcMar>
            <w:vAlign w:val="bottom"/>
          </w:tcPr>
          <w:p w14:paraId="02F27F02"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2BFF338A" w14:textId="77777777" w:rsidR="009A5AEC" w:rsidRDefault="00000000">
            <w:pPr>
              <w:pStyle w:val="Normal0"/>
              <w:rPr>
                <w:color w:val="000000"/>
                <w:sz w:val="20"/>
              </w:rPr>
            </w:pPr>
            <w:r>
              <w:rPr>
                <w:color w:val="000000"/>
                <w:sz w:val="20"/>
              </w:rPr>
              <w:t xml:space="preserve"> </w:t>
            </w:r>
          </w:p>
        </w:tc>
        <w:tc>
          <w:tcPr>
            <w:tcW w:w="787" w:type="pct"/>
            <w:shd w:val="clear" w:color="auto" w:fill="FFFFFF"/>
            <w:noWrap/>
            <w:tcMar>
              <w:top w:w="15" w:type="dxa"/>
              <w:left w:w="0" w:type="dxa"/>
              <w:bottom w:w="0" w:type="dxa"/>
              <w:right w:w="15" w:type="dxa"/>
            </w:tcMar>
            <w:vAlign w:val="bottom"/>
          </w:tcPr>
          <w:p w14:paraId="7868F75E" w14:textId="77777777" w:rsidR="009A5AEC" w:rsidRDefault="00000000">
            <w:pPr>
              <w:pStyle w:val="Normal0"/>
              <w:jc w:val="right"/>
              <w:rPr>
                <w:color w:val="000000"/>
                <w:sz w:val="20"/>
              </w:rPr>
            </w:pPr>
            <w:r>
              <w:rPr>
                <w:color w:val="000000"/>
                <w:sz w:val="20"/>
              </w:rPr>
              <w:t>—</w:t>
            </w:r>
          </w:p>
        </w:tc>
        <w:tc>
          <w:tcPr>
            <w:tcW w:w="50" w:type="pct"/>
            <w:shd w:val="clear" w:color="auto" w:fill="FFFFFF"/>
            <w:noWrap/>
            <w:tcMar>
              <w:top w:w="15" w:type="dxa"/>
              <w:left w:w="0" w:type="dxa"/>
              <w:bottom w:w="0" w:type="dxa"/>
              <w:right w:w="15" w:type="dxa"/>
            </w:tcMar>
            <w:vAlign w:val="bottom"/>
          </w:tcPr>
          <w:p w14:paraId="6DE6D7DE" w14:textId="77777777" w:rsidR="009A5AEC" w:rsidRDefault="00000000">
            <w:pPr>
              <w:pStyle w:val="Normal0"/>
              <w:rPr>
                <w:color w:val="000000"/>
                <w:sz w:val="20"/>
              </w:rPr>
            </w:pPr>
            <w:r>
              <w:rPr>
                <w:color w:val="000000"/>
                <w:sz w:val="20"/>
              </w:rPr>
              <w:t xml:space="preserve"> </w:t>
            </w:r>
          </w:p>
        </w:tc>
        <w:tc>
          <w:tcPr>
            <w:tcW w:w="87" w:type="pct"/>
            <w:shd w:val="clear" w:color="auto" w:fill="FFFFFF"/>
            <w:tcMar>
              <w:top w:w="15" w:type="dxa"/>
              <w:left w:w="0" w:type="dxa"/>
              <w:bottom w:w="0" w:type="dxa"/>
              <w:right w:w="15" w:type="dxa"/>
            </w:tcMar>
            <w:vAlign w:val="bottom"/>
          </w:tcPr>
          <w:p w14:paraId="4BF45044"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76B81AD7" w14:textId="77777777" w:rsidR="009A5AEC" w:rsidRDefault="00000000">
            <w:pPr>
              <w:pStyle w:val="Normal0"/>
              <w:rPr>
                <w:color w:val="000000"/>
                <w:sz w:val="20"/>
              </w:rPr>
            </w:pPr>
            <w:r>
              <w:rPr>
                <w:color w:val="000000"/>
                <w:sz w:val="20"/>
              </w:rPr>
              <w:t xml:space="preserve"> </w:t>
            </w:r>
          </w:p>
        </w:tc>
        <w:tc>
          <w:tcPr>
            <w:tcW w:w="787" w:type="pct"/>
            <w:shd w:val="clear" w:color="auto" w:fill="FFFFFF"/>
            <w:noWrap/>
            <w:tcMar>
              <w:top w:w="15" w:type="dxa"/>
              <w:left w:w="0" w:type="dxa"/>
              <w:bottom w:w="0" w:type="dxa"/>
              <w:right w:w="15" w:type="dxa"/>
            </w:tcMar>
            <w:vAlign w:val="bottom"/>
          </w:tcPr>
          <w:p w14:paraId="0FEA97A7" w14:textId="77777777" w:rsidR="009A5AEC" w:rsidRDefault="00000000">
            <w:pPr>
              <w:pStyle w:val="Normal0"/>
              <w:jc w:val="right"/>
              <w:rPr>
                <w:color w:val="000000"/>
                <w:sz w:val="20"/>
              </w:rPr>
            </w:pPr>
            <w:r>
              <w:rPr>
                <w:color w:val="000000"/>
                <w:sz w:val="20"/>
              </w:rPr>
              <w:t>(60,205</w:t>
            </w:r>
          </w:p>
        </w:tc>
        <w:tc>
          <w:tcPr>
            <w:tcW w:w="50" w:type="pct"/>
            <w:shd w:val="clear" w:color="auto" w:fill="FFFFFF"/>
            <w:noWrap/>
            <w:tcMar>
              <w:top w:w="15" w:type="dxa"/>
              <w:left w:w="0" w:type="dxa"/>
              <w:bottom w:w="0" w:type="dxa"/>
              <w:right w:w="15" w:type="dxa"/>
            </w:tcMar>
            <w:vAlign w:val="bottom"/>
          </w:tcPr>
          <w:p w14:paraId="35C8AAB9" w14:textId="77777777" w:rsidR="009A5AEC" w:rsidRDefault="00000000">
            <w:pPr>
              <w:pStyle w:val="Normal0"/>
              <w:rPr>
                <w:color w:val="000000"/>
                <w:sz w:val="20"/>
              </w:rPr>
            </w:pPr>
            <w:r>
              <w:rPr>
                <w:color w:val="000000"/>
                <w:sz w:val="20"/>
              </w:rPr>
              <w:t>)</w:t>
            </w:r>
          </w:p>
        </w:tc>
      </w:tr>
      <w:tr w:rsidR="003116D1" w14:paraId="229231DF" w14:textId="77777777">
        <w:trPr>
          <w:cantSplit/>
          <w:jc w:val="center"/>
        </w:trPr>
        <w:tc>
          <w:tcPr>
            <w:tcW w:w="3050" w:type="pct"/>
            <w:shd w:val="clear" w:color="auto" w:fill="FFFFFF"/>
            <w:tcMar>
              <w:top w:w="15" w:type="dxa"/>
              <w:left w:w="0" w:type="dxa"/>
              <w:bottom w:w="0" w:type="dxa"/>
              <w:right w:w="15" w:type="dxa"/>
            </w:tcMar>
            <w:vAlign w:val="bottom"/>
          </w:tcPr>
          <w:p w14:paraId="35401870" w14:textId="77777777" w:rsidR="009A5AEC" w:rsidRDefault="00000000">
            <w:pPr>
              <w:pStyle w:val="Normal0"/>
              <w:keepNext/>
              <w:ind w:left="274"/>
              <w:rPr>
                <w:color w:val="000000"/>
                <w:sz w:val="20"/>
              </w:rPr>
            </w:pPr>
            <w:r>
              <w:rPr>
                <w:color w:val="000000"/>
                <w:sz w:val="20"/>
              </w:rPr>
              <w:t xml:space="preserve"> Investment loss</w:t>
            </w:r>
          </w:p>
        </w:tc>
        <w:tc>
          <w:tcPr>
            <w:tcW w:w="87" w:type="pct"/>
            <w:shd w:val="clear" w:color="auto" w:fill="FFFFFF"/>
            <w:tcMar>
              <w:top w:w="15" w:type="dxa"/>
              <w:left w:w="0" w:type="dxa"/>
              <w:bottom w:w="0" w:type="dxa"/>
              <w:right w:w="15" w:type="dxa"/>
            </w:tcMar>
            <w:vAlign w:val="bottom"/>
          </w:tcPr>
          <w:p w14:paraId="76F647CB"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612D1F0B" w14:textId="77777777" w:rsidR="009A5AEC" w:rsidRDefault="00000000">
            <w:pPr>
              <w:pStyle w:val="Normal0"/>
              <w:rPr>
                <w:color w:val="000000"/>
                <w:sz w:val="20"/>
              </w:rPr>
            </w:pPr>
            <w:r>
              <w:rPr>
                <w:color w:val="000000"/>
                <w:sz w:val="20"/>
              </w:rPr>
              <w:t xml:space="preserve"> </w:t>
            </w:r>
          </w:p>
        </w:tc>
        <w:tc>
          <w:tcPr>
            <w:tcW w:w="787" w:type="pct"/>
            <w:shd w:val="clear" w:color="auto" w:fill="FFFFFF"/>
            <w:noWrap/>
            <w:tcMar>
              <w:top w:w="15" w:type="dxa"/>
              <w:left w:w="0" w:type="dxa"/>
              <w:bottom w:w="0" w:type="dxa"/>
              <w:right w:w="15" w:type="dxa"/>
            </w:tcMar>
            <w:vAlign w:val="bottom"/>
          </w:tcPr>
          <w:p w14:paraId="1B0CE335" w14:textId="77777777" w:rsidR="009A5AEC" w:rsidRDefault="00000000">
            <w:pPr>
              <w:pStyle w:val="Normal0"/>
              <w:jc w:val="right"/>
              <w:rPr>
                <w:color w:val="000000"/>
                <w:sz w:val="20"/>
              </w:rPr>
            </w:pPr>
            <w:r>
              <w:rPr>
                <w:color w:val="000000"/>
                <w:sz w:val="20"/>
              </w:rPr>
              <w:t>2,121</w:t>
            </w:r>
          </w:p>
        </w:tc>
        <w:tc>
          <w:tcPr>
            <w:tcW w:w="50" w:type="pct"/>
            <w:shd w:val="clear" w:color="auto" w:fill="FFFFFF"/>
            <w:noWrap/>
            <w:tcMar>
              <w:top w:w="15" w:type="dxa"/>
              <w:left w:w="0" w:type="dxa"/>
              <w:bottom w:w="0" w:type="dxa"/>
              <w:right w:w="15" w:type="dxa"/>
            </w:tcMar>
            <w:vAlign w:val="bottom"/>
          </w:tcPr>
          <w:p w14:paraId="5875258B" w14:textId="77777777" w:rsidR="009A5AEC" w:rsidRDefault="00000000">
            <w:pPr>
              <w:pStyle w:val="Normal0"/>
              <w:rPr>
                <w:color w:val="000000"/>
                <w:sz w:val="20"/>
              </w:rPr>
            </w:pPr>
            <w:r>
              <w:rPr>
                <w:color w:val="000000"/>
                <w:sz w:val="20"/>
              </w:rPr>
              <w:t xml:space="preserve"> </w:t>
            </w:r>
          </w:p>
        </w:tc>
        <w:tc>
          <w:tcPr>
            <w:tcW w:w="87" w:type="pct"/>
            <w:shd w:val="clear" w:color="auto" w:fill="FFFFFF"/>
            <w:tcMar>
              <w:top w:w="15" w:type="dxa"/>
              <w:left w:w="0" w:type="dxa"/>
              <w:bottom w:w="0" w:type="dxa"/>
              <w:right w:w="15" w:type="dxa"/>
            </w:tcMar>
            <w:vAlign w:val="bottom"/>
          </w:tcPr>
          <w:p w14:paraId="212E35AA"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04CD9161" w14:textId="77777777" w:rsidR="009A5AEC" w:rsidRDefault="00000000">
            <w:pPr>
              <w:pStyle w:val="Normal0"/>
              <w:rPr>
                <w:color w:val="000000"/>
                <w:sz w:val="20"/>
              </w:rPr>
            </w:pPr>
            <w:r>
              <w:rPr>
                <w:color w:val="000000"/>
                <w:sz w:val="20"/>
              </w:rPr>
              <w:t xml:space="preserve"> </w:t>
            </w:r>
          </w:p>
        </w:tc>
        <w:tc>
          <w:tcPr>
            <w:tcW w:w="787" w:type="pct"/>
            <w:shd w:val="clear" w:color="auto" w:fill="FFFFFF"/>
            <w:noWrap/>
            <w:tcMar>
              <w:top w:w="15" w:type="dxa"/>
              <w:left w:w="0" w:type="dxa"/>
              <w:bottom w:w="0" w:type="dxa"/>
              <w:right w:w="15" w:type="dxa"/>
            </w:tcMar>
            <w:vAlign w:val="bottom"/>
          </w:tcPr>
          <w:p w14:paraId="5D4EE8D0" w14:textId="77777777" w:rsidR="009A5AEC" w:rsidRDefault="00000000">
            <w:pPr>
              <w:pStyle w:val="Normal0"/>
              <w:jc w:val="right"/>
              <w:rPr>
                <w:color w:val="000000"/>
                <w:sz w:val="20"/>
              </w:rPr>
            </w:pPr>
            <w:r>
              <w:rPr>
                <w:color w:val="000000"/>
                <w:sz w:val="20"/>
              </w:rPr>
              <w:t>18,609</w:t>
            </w:r>
          </w:p>
        </w:tc>
        <w:tc>
          <w:tcPr>
            <w:tcW w:w="50" w:type="pct"/>
            <w:shd w:val="clear" w:color="auto" w:fill="FFFFFF"/>
            <w:noWrap/>
            <w:tcMar>
              <w:top w:w="15" w:type="dxa"/>
              <w:left w:w="0" w:type="dxa"/>
              <w:bottom w:w="0" w:type="dxa"/>
              <w:right w:w="15" w:type="dxa"/>
            </w:tcMar>
            <w:vAlign w:val="bottom"/>
          </w:tcPr>
          <w:p w14:paraId="374664B4" w14:textId="77777777" w:rsidR="009A5AEC" w:rsidRDefault="00000000">
            <w:pPr>
              <w:pStyle w:val="Normal0"/>
              <w:rPr>
                <w:color w:val="000000"/>
                <w:sz w:val="20"/>
              </w:rPr>
            </w:pPr>
            <w:r>
              <w:rPr>
                <w:color w:val="000000"/>
                <w:sz w:val="20"/>
              </w:rPr>
              <w:t xml:space="preserve"> </w:t>
            </w:r>
          </w:p>
        </w:tc>
      </w:tr>
      <w:tr w:rsidR="003116D1" w14:paraId="5A948B7D" w14:textId="77777777">
        <w:trPr>
          <w:cantSplit/>
          <w:jc w:val="center"/>
        </w:trPr>
        <w:tc>
          <w:tcPr>
            <w:tcW w:w="3050" w:type="pct"/>
            <w:shd w:val="clear" w:color="auto" w:fill="FFFFFF"/>
            <w:tcMar>
              <w:top w:w="15" w:type="dxa"/>
              <w:left w:w="0" w:type="dxa"/>
              <w:bottom w:w="0" w:type="dxa"/>
              <w:right w:w="15" w:type="dxa"/>
            </w:tcMar>
            <w:vAlign w:val="bottom"/>
          </w:tcPr>
          <w:p w14:paraId="5D9001BD" w14:textId="77777777" w:rsidR="009A5AEC" w:rsidRDefault="00000000">
            <w:pPr>
              <w:pStyle w:val="Normal0"/>
              <w:keepNext/>
              <w:ind w:left="274"/>
              <w:rPr>
                <w:color w:val="000000"/>
                <w:sz w:val="20"/>
              </w:rPr>
            </w:pPr>
            <w:r>
              <w:rPr>
                <w:color w:val="000000"/>
                <w:sz w:val="20"/>
              </w:rPr>
              <w:t xml:space="preserve"> Non-cash donation of IRNT common stock</w:t>
            </w:r>
          </w:p>
        </w:tc>
        <w:tc>
          <w:tcPr>
            <w:tcW w:w="87" w:type="pct"/>
            <w:shd w:val="clear" w:color="auto" w:fill="FFFFFF"/>
            <w:tcMar>
              <w:top w:w="15" w:type="dxa"/>
              <w:left w:w="0" w:type="dxa"/>
              <w:bottom w:w="0" w:type="dxa"/>
              <w:right w:w="15" w:type="dxa"/>
            </w:tcMar>
            <w:vAlign w:val="bottom"/>
          </w:tcPr>
          <w:p w14:paraId="789FA5AB"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1FA3948C" w14:textId="77777777" w:rsidR="009A5AEC" w:rsidRDefault="00000000">
            <w:pPr>
              <w:pStyle w:val="Normal0"/>
              <w:rPr>
                <w:color w:val="000000"/>
                <w:sz w:val="20"/>
              </w:rPr>
            </w:pPr>
            <w:r>
              <w:rPr>
                <w:color w:val="000000"/>
                <w:sz w:val="20"/>
              </w:rPr>
              <w:t xml:space="preserve"> </w:t>
            </w:r>
          </w:p>
        </w:tc>
        <w:tc>
          <w:tcPr>
            <w:tcW w:w="787" w:type="pct"/>
            <w:shd w:val="clear" w:color="auto" w:fill="FFFFFF"/>
            <w:noWrap/>
            <w:tcMar>
              <w:top w:w="15" w:type="dxa"/>
              <w:left w:w="0" w:type="dxa"/>
              <w:bottom w:w="0" w:type="dxa"/>
              <w:right w:w="15" w:type="dxa"/>
            </w:tcMar>
            <w:vAlign w:val="bottom"/>
          </w:tcPr>
          <w:p w14:paraId="61868969" w14:textId="77777777" w:rsidR="009A5AEC" w:rsidRDefault="00000000">
            <w:pPr>
              <w:pStyle w:val="Normal0"/>
              <w:jc w:val="right"/>
              <w:rPr>
                <w:color w:val="000000"/>
                <w:sz w:val="20"/>
              </w:rPr>
            </w:pPr>
            <w:r>
              <w:rPr>
                <w:color w:val="000000"/>
                <w:sz w:val="20"/>
              </w:rPr>
              <w:t>—</w:t>
            </w:r>
          </w:p>
        </w:tc>
        <w:tc>
          <w:tcPr>
            <w:tcW w:w="50" w:type="pct"/>
            <w:shd w:val="clear" w:color="auto" w:fill="FFFFFF"/>
            <w:noWrap/>
            <w:tcMar>
              <w:top w:w="15" w:type="dxa"/>
              <w:left w:w="0" w:type="dxa"/>
              <w:bottom w:w="0" w:type="dxa"/>
              <w:right w:w="15" w:type="dxa"/>
            </w:tcMar>
            <w:vAlign w:val="bottom"/>
          </w:tcPr>
          <w:p w14:paraId="01527716" w14:textId="77777777" w:rsidR="009A5AEC" w:rsidRDefault="00000000">
            <w:pPr>
              <w:pStyle w:val="Normal0"/>
              <w:rPr>
                <w:color w:val="000000"/>
                <w:sz w:val="20"/>
              </w:rPr>
            </w:pPr>
            <w:r>
              <w:rPr>
                <w:color w:val="000000"/>
                <w:sz w:val="20"/>
              </w:rPr>
              <w:t xml:space="preserve"> </w:t>
            </w:r>
          </w:p>
        </w:tc>
        <w:tc>
          <w:tcPr>
            <w:tcW w:w="87" w:type="pct"/>
            <w:shd w:val="clear" w:color="auto" w:fill="FFFFFF"/>
            <w:tcMar>
              <w:top w:w="15" w:type="dxa"/>
              <w:left w:w="0" w:type="dxa"/>
              <w:bottom w:w="0" w:type="dxa"/>
              <w:right w:w="15" w:type="dxa"/>
            </w:tcMar>
            <w:vAlign w:val="bottom"/>
          </w:tcPr>
          <w:p w14:paraId="53AF36B8"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03D325BD" w14:textId="77777777" w:rsidR="009A5AEC" w:rsidRDefault="00000000">
            <w:pPr>
              <w:pStyle w:val="Normal0"/>
              <w:rPr>
                <w:color w:val="000000"/>
                <w:sz w:val="20"/>
              </w:rPr>
            </w:pPr>
            <w:r>
              <w:rPr>
                <w:color w:val="000000"/>
                <w:sz w:val="20"/>
              </w:rPr>
              <w:t xml:space="preserve"> </w:t>
            </w:r>
          </w:p>
        </w:tc>
        <w:tc>
          <w:tcPr>
            <w:tcW w:w="787" w:type="pct"/>
            <w:shd w:val="clear" w:color="auto" w:fill="FFFFFF"/>
            <w:noWrap/>
            <w:tcMar>
              <w:top w:w="15" w:type="dxa"/>
              <w:left w:w="0" w:type="dxa"/>
              <w:bottom w:w="0" w:type="dxa"/>
              <w:right w:w="15" w:type="dxa"/>
            </w:tcMar>
            <w:vAlign w:val="bottom"/>
          </w:tcPr>
          <w:p w14:paraId="565B6A06" w14:textId="77777777" w:rsidR="009A5AEC" w:rsidRDefault="00000000">
            <w:pPr>
              <w:pStyle w:val="Normal0"/>
              <w:jc w:val="right"/>
              <w:rPr>
                <w:color w:val="000000"/>
                <w:sz w:val="20"/>
              </w:rPr>
            </w:pPr>
            <w:r>
              <w:rPr>
                <w:color w:val="000000"/>
                <w:sz w:val="20"/>
              </w:rPr>
              <w:t>1,318</w:t>
            </w:r>
          </w:p>
        </w:tc>
        <w:tc>
          <w:tcPr>
            <w:tcW w:w="50" w:type="pct"/>
            <w:shd w:val="clear" w:color="auto" w:fill="FFFFFF"/>
            <w:noWrap/>
            <w:tcMar>
              <w:top w:w="15" w:type="dxa"/>
              <w:left w:w="0" w:type="dxa"/>
              <w:bottom w:w="0" w:type="dxa"/>
              <w:right w:w="15" w:type="dxa"/>
            </w:tcMar>
            <w:vAlign w:val="bottom"/>
          </w:tcPr>
          <w:p w14:paraId="0BFF4206" w14:textId="77777777" w:rsidR="009A5AEC" w:rsidRDefault="00000000">
            <w:pPr>
              <w:pStyle w:val="Normal0"/>
              <w:rPr>
                <w:color w:val="000000"/>
                <w:sz w:val="20"/>
              </w:rPr>
            </w:pPr>
            <w:r>
              <w:rPr>
                <w:color w:val="000000"/>
                <w:sz w:val="20"/>
              </w:rPr>
              <w:t xml:space="preserve"> </w:t>
            </w:r>
          </w:p>
        </w:tc>
      </w:tr>
      <w:tr w:rsidR="003116D1" w14:paraId="1E9F6D13" w14:textId="77777777">
        <w:trPr>
          <w:cantSplit/>
          <w:jc w:val="center"/>
        </w:trPr>
        <w:tc>
          <w:tcPr>
            <w:tcW w:w="3050" w:type="pct"/>
            <w:shd w:val="clear" w:color="auto" w:fill="FFFFFF"/>
            <w:tcMar>
              <w:top w:w="15" w:type="dxa"/>
              <w:left w:w="0" w:type="dxa"/>
              <w:bottom w:w="0" w:type="dxa"/>
              <w:right w:w="15" w:type="dxa"/>
            </w:tcMar>
            <w:vAlign w:val="bottom"/>
          </w:tcPr>
          <w:p w14:paraId="0FB813CE" w14:textId="77777777" w:rsidR="009A5AEC" w:rsidRDefault="00000000">
            <w:pPr>
              <w:pStyle w:val="Normal0"/>
              <w:keepNext/>
              <w:ind w:left="274"/>
              <w:rPr>
                <w:color w:val="000000"/>
                <w:sz w:val="20"/>
              </w:rPr>
            </w:pPr>
            <w:r>
              <w:rPr>
                <w:color w:val="000000"/>
                <w:sz w:val="20"/>
              </w:rPr>
              <w:t xml:space="preserve"> Spin-Off costs</w:t>
            </w:r>
          </w:p>
        </w:tc>
        <w:tc>
          <w:tcPr>
            <w:tcW w:w="87" w:type="pct"/>
            <w:shd w:val="clear" w:color="auto" w:fill="FFFFFF"/>
            <w:tcMar>
              <w:top w:w="15" w:type="dxa"/>
              <w:left w:w="0" w:type="dxa"/>
              <w:bottom w:w="0" w:type="dxa"/>
              <w:right w:w="15" w:type="dxa"/>
            </w:tcMar>
            <w:vAlign w:val="bottom"/>
          </w:tcPr>
          <w:p w14:paraId="23DC6DB3"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5A6937C7" w14:textId="77777777" w:rsidR="009A5AEC" w:rsidRDefault="00000000">
            <w:pPr>
              <w:pStyle w:val="Normal0"/>
              <w:rPr>
                <w:color w:val="000000"/>
                <w:sz w:val="20"/>
              </w:rPr>
            </w:pPr>
            <w:r>
              <w:rPr>
                <w:color w:val="000000"/>
                <w:sz w:val="20"/>
              </w:rPr>
              <w:t xml:space="preserve"> </w:t>
            </w:r>
          </w:p>
        </w:tc>
        <w:tc>
          <w:tcPr>
            <w:tcW w:w="787" w:type="pct"/>
            <w:tcBorders>
              <w:bottom w:val="single" w:sz="2" w:space="0" w:color="000000"/>
            </w:tcBorders>
            <w:shd w:val="clear" w:color="auto" w:fill="FFFFFF"/>
            <w:noWrap/>
            <w:tcMar>
              <w:top w:w="15" w:type="dxa"/>
              <w:left w:w="0" w:type="dxa"/>
              <w:bottom w:w="0" w:type="dxa"/>
              <w:right w:w="15" w:type="dxa"/>
            </w:tcMar>
            <w:vAlign w:val="bottom"/>
          </w:tcPr>
          <w:p w14:paraId="118DBFA3" w14:textId="77777777" w:rsidR="009A5AEC" w:rsidRDefault="00000000">
            <w:pPr>
              <w:pStyle w:val="Normal0"/>
              <w:jc w:val="right"/>
              <w:rPr>
                <w:color w:val="000000"/>
                <w:sz w:val="20"/>
              </w:rPr>
            </w:pPr>
            <w:r>
              <w:rPr>
                <w:color w:val="000000"/>
                <w:sz w:val="20"/>
              </w:rPr>
              <w:t>232</w:t>
            </w:r>
          </w:p>
        </w:tc>
        <w:tc>
          <w:tcPr>
            <w:tcW w:w="50" w:type="pct"/>
            <w:shd w:val="clear" w:color="auto" w:fill="FFFFFF"/>
            <w:noWrap/>
            <w:tcMar>
              <w:top w:w="15" w:type="dxa"/>
              <w:left w:w="0" w:type="dxa"/>
              <w:bottom w:w="0" w:type="dxa"/>
              <w:right w:w="15" w:type="dxa"/>
            </w:tcMar>
            <w:vAlign w:val="bottom"/>
          </w:tcPr>
          <w:p w14:paraId="05FD8ABD" w14:textId="77777777" w:rsidR="009A5AEC" w:rsidRDefault="00000000">
            <w:pPr>
              <w:pStyle w:val="Normal0"/>
              <w:rPr>
                <w:color w:val="000000"/>
                <w:sz w:val="20"/>
              </w:rPr>
            </w:pPr>
            <w:r>
              <w:rPr>
                <w:color w:val="000000"/>
                <w:sz w:val="20"/>
              </w:rPr>
              <w:t xml:space="preserve"> </w:t>
            </w:r>
          </w:p>
        </w:tc>
        <w:tc>
          <w:tcPr>
            <w:tcW w:w="87" w:type="pct"/>
            <w:shd w:val="clear" w:color="auto" w:fill="FFFFFF"/>
            <w:tcMar>
              <w:top w:w="15" w:type="dxa"/>
              <w:left w:w="0" w:type="dxa"/>
              <w:bottom w:w="0" w:type="dxa"/>
              <w:right w:w="15" w:type="dxa"/>
            </w:tcMar>
            <w:vAlign w:val="bottom"/>
          </w:tcPr>
          <w:p w14:paraId="6AC022D0" w14:textId="77777777" w:rsidR="009A5AEC" w:rsidRDefault="00000000">
            <w:pPr>
              <w:pStyle w:val="Normal0"/>
              <w:rPr>
                <w:color w:val="000000"/>
                <w:sz w:val="20"/>
              </w:rPr>
            </w:pPr>
            <w:r>
              <w:rPr>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68048191" w14:textId="77777777" w:rsidR="009A5AEC" w:rsidRDefault="00000000">
            <w:pPr>
              <w:pStyle w:val="Normal0"/>
              <w:rPr>
                <w:color w:val="000000"/>
                <w:sz w:val="20"/>
              </w:rPr>
            </w:pPr>
            <w:r>
              <w:rPr>
                <w:color w:val="000000"/>
                <w:sz w:val="20"/>
              </w:rPr>
              <w:t xml:space="preserve"> </w:t>
            </w:r>
          </w:p>
        </w:tc>
        <w:tc>
          <w:tcPr>
            <w:tcW w:w="787" w:type="pct"/>
            <w:tcBorders>
              <w:bottom w:val="single" w:sz="2" w:space="0" w:color="000000"/>
            </w:tcBorders>
            <w:shd w:val="clear" w:color="auto" w:fill="FFFFFF"/>
            <w:noWrap/>
            <w:tcMar>
              <w:top w:w="15" w:type="dxa"/>
              <w:left w:w="0" w:type="dxa"/>
              <w:bottom w:w="0" w:type="dxa"/>
              <w:right w:w="15" w:type="dxa"/>
            </w:tcMar>
            <w:vAlign w:val="bottom"/>
          </w:tcPr>
          <w:p w14:paraId="0FEB891F" w14:textId="77777777" w:rsidR="009A5AEC" w:rsidRDefault="00000000">
            <w:pPr>
              <w:pStyle w:val="Normal0"/>
              <w:jc w:val="right"/>
              <w:rPr>
                <w:color w:val="000000"/>
                <w:sz w:val="20"/>
              </w:rPr>
            </w:pPr>
            <w:r>
              <w:rPr>
                <w:color w:val="000000"/>
                <w:sz w:val="20"/>
              </w:rPr>
              <w:t>—</w:t>
            </w:r>
          </w:p>
        </w:tc>
        <w:tc>
          <w:tcPr>
            <w:tcW w:w="50" w:type="pct"/>
            <w:shd w:val="clear" w:color="auto" w:fill="FFFFFF"/>
            <w:noWrap/>
            <w:tcMar>
              <w:top w:w="15" w:type="dxa"/>
              <w:left w:w="0" w:type="dxa"/>
              <w:bottom w:w="0" w:type="dxa"/>
              <w:right w:w="15" w:type="dxa"/>
            </w:tcMar>
            <w:vAlign w:val="bottom"/>
          </w:tcPr>
          <w:p w14:paraId="59F81DE3" w14:textId="77777777" w:rsidR="009A5AEC" w:rsidRDefault="00000000">
            <w:pPr>
              <w:pStyle w:val="Normal0"/>
              <w:rPr>
                <w:color w:val="000000"/>
                <w:sz w:val="20"/>
              </w:rPr>
            </w:pPr>
            <w:r>
              <w:rPr>
                <w:color w:val="000000"/>
                <w:sz w:val="20"/>
              </w:rPr>
              <w:t xml:space="preserve"> </w:t>
            </w:r>
          </w:p>
        </w:tc>
      </w:tr>
      <w:tr w:rsidR="003116D1" w14:paraId="1DD5794E" w14:textId="77777777">
        <w:trPr>
          <w:cantSplit/>
          <w:jc w:val="center"/>
        </w:trPr>
        <w:tc>
          <w:tcPr>
            <w:tcW w:w="3050" w:type="pct"/>
            <w:shd w:val="clear" w:color="auto" w:fill="FFFFFF"/>
            <w:tcMar>
              <w:top w:w="15" w:type="dxa"/>
              <w:left w:w="0" w:type="dxa"/>
              <w:bottom w:w="0" w:type="dxa"/>
              <w:right w:w="15" w:type="dxa"/>
            </w:tcMar>
            <w:vAlign w:val="bottom"/>
          </w:tcPr>
          <w:p w14:paraId="6528430C" w14:textId="77777777" w:rsidR="009A5AEC" w:rsidRDefault="00000000">
            <w:pPr>
              <w:pStyle w:val="Normal0"/>
              <w:keepNext/>
              <w:rPr>
                <w:color w:val="000000"/>
                <w:sz w:val="20"/>
              </w:rPr>
            </w:pPr>
            <w:r>
              <w:rPr>
                <w:color w:val="000000"/>
                <w:sz w:val="20"/>
              </w:rPr>
              <w:t xml:space="preserve"> Adjusted EBITDA</w:t>
            </w:r>
          </w:p>
        </w:tc>
        <w:tc>
          <w:tcPr>
            <w:tcW w:w="87" w:type="pct"/>
            <w:shd w:val="clear" w:color="auto" w:fill="FFFFFF"/>
            <w:tcMar>
              <w:top w:w="15" w:type="dxa"/>
              <w:left w:w="0" w:type="dxa"/>
              <w:bottom w:w="0" w:type="dxa"/>
              <w:right w:w="15" w:type="dxa"/>
            </w:tcMar>
            <w:vAlign w:val="bottom"/>
          </w:tcPr>
          <w:p w14:paraId="54A118B2"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433D4FBD" w14:textId="77777777" w:rsidR="009A5AEC" w:rsidRDefault="00000000">
            <w:pPr>
              <w:pStyle w:val="Normal0"/>
              <w:rPr>
                <w:color w:val="000000"/>
                <w:sz w:val="20"/>
              </w:rPr>
            </w:pPr>
            <w:r>
              <w:rPr>
                <w:color w:val="000000"/>
                <w:sz w:val="20"/>
              </w:rPr>
              <w:t>$</w:t>
            </w:r>
          </w:p>
        </w:tc>
        <w:tc>
          <w:tcPr>
            <w:tcW w:w="787"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2228CECB" w14:textId="77777777" w:rsidR="009A5AEC" w:rsidRDefault="00000000">
            <w:pPr>
              <w:pStyle w:val="Normal0"/>
              <w:jc w:val="right"/>
              <w:rPr>
                <w:color w:val="000000"/>
                <w:sz w:val="20"/>
              </w:rPr>
            </w:pPr>
            <w:r>
              <w:rPr>
                <w:color w:val="000000"/>
                <w:sz w:val="20"/>
              </w:rPr>
              <w:t>611</w:t>
            </w:r>
          </w:p>
        </w:tc>
        <w:tc>
          <w:tcPr>
            <w:tcW w:w="50" w:type="pct"/>
            <w:shd w:val="clear" w:color="auto" w:fill="FFFFFF"/>
            <w:noWrap/>
            <w:tcMar>
              <w:top w:w="15" w:type="dxa"/>
              <w:left w:w="0" w:type="dxa"/>
              <w:bottom w:w="0" w:type="dxa"/>
              <w:right w:w="15" w:type="dxa"/>
            </w:tcMar>
            <w:vAlign w:val="bottom"/>
          </w:tcPr>
          <w:p w14:paraId="12920004" w14:textId="77777777" w:rsidR="009A5AEC" w:rsidRDefault="00000000">
            <w:pPr>
              <w:pStyle w:val="Normal0"/>
              <w:rPr>
                <w:color w:val="000000"/>
                <w:sz w:val="20"/>
              </w:rPr>
            </w:pPr>
            <w:r>
              <w:rPr>
                <w:color w:val="000000"/>
                <w:sz w:val="20"/>
              </w:rPr>
              <w:t xml:space="preserve"> </w:t>
            </w:r>
          </w:p>
        </w:tc>
        <w:tc>
          <w:tcPr>
            <w:tcW w:w="87" w:type="pct"/>
            <w:shd w:val="clear" w:color="auto" w:fill="FFFFFF"/>
            <w:tcMar>
              <w:top w:w="15" w:type="dxa"/>
              <w:left w:w="0" w:type="dxa"/>
              <w:bottom w:w="0" w:type="dxa"/>
              <w:right w:w="15" w:type="dxa"/>
            </w:tcMar>
            <w:vAlign w:val="bottom"/>
          </w:tcPr>
          <w:p w14:paraId="06174AC3" w14:textId="77777777" w:rsidR="009A5AEC" w:rsidRDefault="00000000">
            <w:pPr>
              <w:pStyle w:val="Normal0"/>
              <w:rPr>
                <w:color w:val="000000"/>
                <w:sz w:val="20"/>
              </w:rPr>
            </w:pPr>
            <w:r>
              <w:rPr>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469BBBE2" w14:textId="77777777" w:rsidR="009A5AEC" w:rsidRDefault="00000000">
            <w:pPr>
              <w:pStyle w:val="Normal0"/>
              <w:rPr>
                <w:color w:val="000000"/>
                <w:sz w:val="20"/>
              </w:rPr>
            </w:pPr>
            <w:r>
              <w:rPr>
                <w:color w:val="000000"/>
                <w:sz w:val="20"/>
              </w:rPr>
              <w:t>$</w:t>
            </w:r>
          </w:p>
        </w:tc>
        <w:tc>
          <w:tcPr>
            <w:tcW w:w="787"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5F83AAE9" w14:textId="77777777" w:rsidR="009A5AEC" w:rsidRDefault="00000000">
            <w:pPr>
              <w:pStyle w:val="Normal0"/>
              <w:jc w:val="right"/>
              <w:rPr>
                <w:color w:val="000000"/>
                <w:sz w:val="20"/>
              </w:rPr>
            </w:pPr>
            <w:r>
              <w:rPr>
                <w:color w:val="000000"/>
                <w:sz w:val="20"/>
              </w:rPr>
              <w:t>719</w:t>
            </w:r>
          </w:p>
        </w:tc>
        <w:tc>
          <w:tcPr>
            <w:tcW w:w="50" w:type="pct"/>
            <w:shd w:val="clear" w:color="auto" w:fill="FFFFFF"/>
            <w:noWrap/>
            <w:tcMar>
              <w:top w:w="15" w:type="dxa"/>
              <w:left w:w="0" w:type="dxa"/>
              <w:bottom w:w="0" w:type="dxa"/>
              <w:right w:w="15" w:type="dxa"/>
            </w:tcMar>
            <w:vAlign w:val="bottom"/>
          </w:tcPr>
          <w:p w14:paraId="5940965E" w14:textId="77777777" w:rsidR="009A5AEC" w:rsidRDefault="00000000">
            <w:pPr>
              <w:pStyle w:val="Normal0"/>
              <w:rPr>
                <w:color w:val="000000"/>
                <w:sz w:val="20"/>
              </w:rPr>
            </w:pPr>
            <w:r>
              <w:rPr>
                <w:color w:val="000000"/>
                <w:sz w:val="20"/>
              </w:rPr>
              <w:t xml:space="preserve"> </w:t>
            </w:r>
          </w:p>
        </w:tc>
      </w:tr>
      <w:tr w:rsidR="003116D1" w14:paraId="791BCE46" w14:textId="77777777">
        <w:trPr>
          <w:cantSplit/>
          <w:jc w:val="center"/>
        </w:trPr>
        <w:tc>
          <w:tcPr>
            <w:tcW w:w="3050" w:type="pct"/>
            <w:shd w:val="clear" w:color="auto" w:fill="FFFFFF"/>
            <w:tcMar>
              <w:top w:w="15" w:type="dxa"/>
              <w:left w:w="0" w:type="dxa"/>
              <w:bottom w:w="0" w:type="dxa"/>
              <w:right w:w="15" w:type="dxa"/>
            </w:tcMar>
            <w:vAlign w:val="bottom"/>
          </w:tcPr>
          <w:p w14:paraId="219B610E" w14:textId="77777777" w:rsidR="009A5AEC" w:rsidRDefault="00000000">
            <w:pPr>
              <w:pStyle w:val="Normal0"/>
              <w:keepNext/>
              <w:ind w:left="274"/>
              <w:rPr>
                <w:color w:val="000000"/>
                <w:sz w:val="20"/>
              </w:rPr>
            </w:pPr>
            <w:r>
              <w:rPr>
                <w:color w:val="000000"/>
                <w:sz w:val="20"/>
              </w:rPr>
              <w:t xml:space="preserve"> </w:t>
            </w:r>
          </w:p>
        </w:tc>
        <w:tc>
          <w:tcPr>
            <w:tcW w:w="87" w:type="pct"/>
            <w:shd w:val="clear" w:color="auto" w:fill="FFFFFF"/>
            <w:tcMar>
              <w:top w:w="15" w:type="dxa"/>
              <w:left w:w="0" w:type="dxa"/>
              <w:bottom w:w="0" w:type="dxa"/>
              <w:right w:w="15" w:type="dxa"/>
            </w:tcMar>
            <w:vAlign w:val="bottom"/>
          </w:tcPr>
          <w:p w14:paraId="60E72702"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1ED05829" w14:textId="77777777" w:rsidR="009A5AEC" w:rsidRDefault="00000000">
            <w:pPr>
              <w:pStyle w:val="Normal0"/>
              <w:rPr>
                <w:color w:val="000000"/>
                <w:sz w:val="20"/>
              </w:rPr>
            </w:pPr>
            <w:r>
              <w:rPr>
                <w:color w:val="000000"/>
                <w:sz w:val="20"/>
              </w:rPr>
              <w:t xml:space="preserve"> </w:t>
            </w:r>
          </w:p>
        </w:tc>
        <w:tc>
          <w:tcPr>
            <w:tcW w:w="787" w:type="pct"/>
            <w:tcBorders>
              <w:top w:val="double" w:sz="6" w:space="0" w:color="000000"/>
            </w:tcBorders>
            <w:shd w:val="clear" w:color="auto" w:fill="FFFFFF"/>
            <w:noWrap/>
            <w:tcMar>
              <w:top w:w="15" w:type="dxa"/>
              <w:left w:w="0" w:type="dxa"/>
              <w:bottom w:w="0" w:type="dxa"/>
              <w:right w:w="15" w:type="dxa"/>
            </w:tcMar>
            <w:vAlign w:val="bottom"/>
          </w:tcPr>
          <w:p w14:paraId="39D2EDF8"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6C000B19" w14:textId="77777777" w:rsidR="009A5AEC" w:rsidRDefault="00000000">
            <w:pPr>
              <w:pStyle w:val="Normal0"/>
              <w:rPr>
                <w:color w:val="000000"/>
                <w:sz w:val="20"/>
              </w:rPr>
            </w:pPr>
            <w:r>
              <w:rPr>
                <w:color w:val="000000"/>
                <w:sz w:val="20"/>
              </w:rPr>
              <w:t xml:space="preserve"> </w:t>
            </w:r>
          </w:p>
        </w:tc>
        <w:tc>
          <w:tcPr>
            <w:tcW w:w="87" w:type="pct"/>
            <w:shd w:val="clear" w:color="auto" w:fill="FFFFFF"/>
            <w:tcMar>
              <w:top w:w="15" w:type="dxa"/>
              <w:left w:w="0" w:type="dxa"/>
              <w:bottom w:w="0" w:type="dxa"/>
              <w:right w:w="15" w:type="dxa"/>
            </w:tcMar>
            <w:vAlign w:val="bottom"/>
          </w:tcPr>
          <w:p w14:paraId="58B6AD46"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7322458C" w14:textId="77777777" w:rsidR="009A5AEC" w:rsidRDefault="00000000">
            <w:pPr>
              <w:pStyle w:val="Normal0"/>
              <w:rPr>
                <w:color w:val="000000"/>
                <w:sz w:val="20"/>
              </w:rPr>
            </w:pPr>
            <w:r>
              <w:rPr>
                <w:color w:val="000000"/>
                <w:sz w:val="20"/>
              </w:rPr>
              <w:t xml:space="preserve"> </w:t>
            </w:r>
          </w:p>
        </w:tc>
        <w:tc>
          <w:tcPr>
            <w:tcW w:w="787" w:type="pct"/>
            <w:tcBorders>
              <w:top w:val="double" w:sz="6" w:space="0" w:color="000000"/>
            </w:tcBorders>
            <w:shd w:val="clear" w:color="auto" w:fill="FFFFFF"/>
            <w:noWrap/>
            <w:tcMar>
              <w:top w:w="15" w:type="dxa"/>
              <w:left w:w="0" w:type="dxa"/>
              <w:bottom w:w="0" w:type="dxa"/>
              <w:right w:w="15" w:type="dxa"/>
            </w:tcMar>
            <w:vAlign w:val="bottom"/>
          </w:tcPr>
          <w:p w14:paraId="04D2F403"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2BE7DD26" w14:textId="77777777" w:rsidR="009A5AEC" w:rsidRDefault="00000000">
            <w:pPr>
              <w:pStyle w:val="Normal0"/>
              <w:rPr>
                <w:color w:val="000000"/>
                <w:sz w:val="20"/>
              </w:rPr>
            </w:pPr>
            <w:r>
              <w:rPr>
                <w:color w:val="000000"/>
                <w:sz w:val="20"/>
              </w:rPr>
              <w:t xml:space="preserve"> </w:t>
            </w:r>
          </w:p>
        </w:tc>
      </w:tr>
      <w:tr w:rsidR="003116D1" w14:paraId="3D3159A9" w14:textId="77777777">
        <w:trPr>
          <w:cantSplit/>
          <w:jc w:val="center"/>
        </w:trPr>
        <w:tc>
          <w:tcPr>
            <w:tcW w:w="3050" w:type="pct"/>
            <w:shd w:val="clear" w:color="auto" w:fill="FFFFFF"/>
            <w:tcMar>
              <w:top w:w="15" w:type="dxa"/>
              <w:left w:w="0" w:type="dxa"/>
              <w:bottom w:w="0" w:type="dxa"/>
              <w:right w:w="15" w:type="dxa"/>
            </w:tcMar>
            <w:vAlign w:val="bottom"/>
          </w:tcPr>
          <w:p w14:paraId="3AC53A9B" w14:textId="77777777" w:rsidR="009A5AEC" w:rsidRDefault="00000000">
            <w:pPr>
              <w:pStyle w:val="Normal0"/>
              <w:keepNext/>
              <w:rPr>
                <w:color w:val="000000"/>
                <w:sz w:val="20"/>
              </w:rPr>
            </w:pPr>
            <w:r>
              <w:rPr>
                <w:color w:val="000000"/>
                <w:sz w:val="20"/>
              </w:rPr>
              <w:t xml:space="preserve"> Basic per share information:</w:t>
            </w:r>
          </w:p>
        </w:tc>
        <w:tc>
          <w:tcPr>
            <w:tcW w:w="87" w:type="pct"/>
            <w:shd w:val="clear" w:color="auto" w:fill="FFFFFF"/>
            <w:tcMar>
              <w:top w:w="15" w:type="dxa"/>
              <w:left w:w="0" w:type="dxa"/>
              <w:bottom w:w="0" w:type="dxa"/>
              <w:right w:w="15" w:type="dxa"/>
            </w:tcMar>
            <w:vAlign w:val="bottom"/>
          </w:tcPr>
          <w:p w14:paraId="3B662ACB"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59848975" w14:textId="77777777" w:rsidR="009A5AEC" w:rsidRDefault="00000000">
            <w:pPr>
              <w:pStyle w:val="Normal0"/>
              <w:rPr>
                <w:color w:val="000000"/>
                <w:sz w:val="20"/>
              </w:rPr>
            </w:pPr>
            <w:r>
              <w:rPr>
                <w:color w:val="000000"/>
                <w:sz w:val="20"/>
              </w:rPr>
              <w:t xml:space="preserve"> </w:t>
            </w:r>
          </w:p>
        </w:tc>
        <w:tc>
          <w:tcPr>
            <w:tcW w:w="787" w:type="pct"/>
            <w:shd w:val="clear" w:color="auto" w:fill="FFFFFF"/>
            <w:noWrap/>
            <w:tcMar>
              <w:top w:w="15" w:type="dxa"/>
              <w:left w:w="0" w:type="dxa"/>
              <w:bottom w:w="0" w:type="dxa"/>
              <w:right w:w="15" w:type="dxa"/>
            </w:tcMar>
            <w:vAlign w:val="bottom"/>
          </w:tcPr>
          <w:p w14:paraId="4C9A33EE"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52C716EA" w14:textId="77777777" w:rsidR="009A5AEC" w:rsidRDefault="00000000">
            <w:pPr>
              <w:pStyle w:val="Normal0"/>
              <w:rPr>
                <w:color w:val="000000"/>
                <w:sz w:val="20"/>
              </w:rPr>
            </w:pPr>
            <w:r>
              <w:rPr>
                <w:color w:val="000000"/>
                <w:sz w:val="20"/>
              </w:rPr>
              <w:t xml:space="preserve"> </w:t>
            </w:r>
          </w:p>
        </w:tc>
        <w:tc>
          <w:tcPr>
            <w:tcW w:w="87" w:type="pct"/>
            <w:shd w:val="clear" w:color="auto" w:fill="FFFFFF"/>
            <w:tcMar>
              <w:top w:w="15" w:type="dxa"/>
              <w:left w:w="0" w:type="dxa"/>
              <w:bottom w:w="0" w:type="dxa"/>
              <w:right w:w="15" w:type="dxa"/>
            </w:tcMar>
            <w:vAlign w:val="bottom"/>
          </w:tcPr>
          <w:p w14:paraId="3AC6E69A"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7B896261" w14:textId="77777777" w:rsidR="009A5AEC" w:rsidRDefault="00000000">
            <w:pPr>
              <w:pStyle w:val="Normal0"/>
              <w:rPr>
                <w:color w:val="000000"/>
                <w:sz w:val="20"/>
              </w:rPr>
            </w:pPr>
            <w:r>
              <w:rPr>
                <w:color w:val="000000"/>
                <w:sz w:val="20"/>
              </w:rPr>
              <w:t xml:space="preserve"> </w:t>
            </w:r>
          </w:p>
        </w:tc>
        <w:tc>
          <w:tcPr>
            <w:tcW w:w="787" w:type="pct"/>
            <w:shd w:val="clear" w:color="auto" w:fill="FFFFFF"/>
            <w:noWrap/>
            <w:tcMar>
              <w:top w:w="15" w:type="dxa"/>
              <w:left w:w="0" w:type="dxa"/>
              <w:bottom w:w="0" w:type="dxa"/>
              <w:right w:w="15" w:type="dxa"/>
            </w:tcMar>
            <w:vAlign w:val="bottom"/>
          </w:tcPr>
          <w:p w14:paraId="60902B88"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15E2E9D5" w14:textId="77777777" w:rsidR="009A5AEC" w:rsidRDefault="00000000">
            <w:pPr>
              <w:pStyle w:val="Normal0"/>
              <w:rPr>
                <w:color w:val="000000"/>
                <w:sz w:val="20"/>
              </w:rPr>
            </w:pPr>
            <w:r>
              <w:rPr>
                <w:color w:val="000000"/>
                <w:sz w:val="20"/>
              </w:rPr>
              <w:t xml:space="preserve"> </w:t>
            </w:r>
          </w:p>
        </w:tc>
      </w:tr>
      <w:tr w:rsidR="003116D1" w14:paraId="3AAFACA2" w14:textId="77777777">
        <w:trPr>
          <w:cantSplit/>
          <w:jc w:val="center"/>
        </w:trPr>
        <w:tc>
          <w:tcPr>
            <w:tcW w:w="3050" w:type="pct"/>
            <w:shd w:val="clear" w:color="auto" w:fill="FFFFFF"/>
            <w:tcMar>
              <w:top w:w="15" w:type="dxa"/>
              <w:left w:w="0" w:type="dxa"/>
              <w:bottom w:w="0" w:type="dxa"/>
              <w:right w:w="15" w:type="dxa"/>
            </w:tcMar>
            <w:vAlign w:val="bottom"/>
          </w:tcPr>
          <w:p w14:paraId="29497499" w14:textId="77777777" w:rsidR="009A5AEC" w:rsidRDefault="00000000">
            <w:pPr>
              <w:pStyle w:val="Normal0"/>
              <w:keepNext/>
              <w:ind w:left="274"/>
              <w:rPr>
                <w:color w:val="000000"/>
                <w:sz w:val="20"/>
              </w:rPr>
            </w:pPr>
            <w:r>
              <w:rPr>
                <w:color w:val="000000"/>
                <w:sz w:val="20"/>
              </w:rPr>
              <w:t xml:space="preserve"> Weighted average shares outstanding</w:t>
            </w:r>
          </w:p>
        </w:tc>
        <w:tc>
          <w:tcPr>
            <w:tcW w:w="87" w:type="pct"/>
            <w:shd w:val="clear" w:color="auto" w:fill="FFFFFF"/>
            <w:tcMar>
              <w:top w:w="15" w:type="dxa"/>
              <w:left w:w="0" w:type="dxa"/>
              <w:bottom w:w="0" w:type="dxa"/>
              <w:right w:w="15" w:type="dxa"/>
            </w:tcMar>
            <w:vAlign w:val="bottom"/>
          </w:tcPr>
          <w:p w14:paraId="020AE103" w14:textId="77777777" w:rsidR="009A5AEC" w:rsidRDefault="00000000">
            <w:pPr>
              <w:pStyle w:val="Normal0"/>
              <w:rPr>
                <w:color w:val="000000"/>
                <w:sz w:val="20"/>
              </w:rPr>
            </w:pPr>
            <w:r>
              <w:rPr>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7666D1E1" w14:textId="77777777" w:rsidR="009A5AEC" w:rsidRDefault="00000000">
            <w:pPr>
              <w:pStyle w:val="Normal0"/>
              <w:rPr>
                <w:color w:val="000000"/>
                <w:sz w:val="20"/>
              </w:rPr>
            </w:pPr>
            <w:r>
              <w:rPr>
                <w:color w:val="000000"/>
                <w:sz w:val="20"/>
              </w:rPr>
              <w:t xml:space="preserve"> </w:t>
            </w:r>
          </w:p>
        </w:tc>
        <w:tc>
          <w:tcPr>
            <w:tcW w:w="787" w:type="pct"/>
            <w:tcBorders>
              <w:bottom w:val="double" w:sz="6" w:space="0" w:color="000000"/>
            </w:tcBorders>
            <w:shd w:val="clear" w:color="auto" w:fill="FFFFFF"/>
            <w:noWrap/>
            <w:tcMar>
              <w:top w:w="15" w:type="dxa"/>
              <w:left w:w="0" w:type="dxa"/>
              <w:bottom w:w="0" w:type="dxa"/>
              <w:right w:w="15" w:type="dxa"/>
            </w:tcMar>
            <w:vAlign w:val="bottom"/>
          </w:tcPr>
          <w:p w14:paraId="618EA1DF" w14:textId="77777777" w:rsidR="009A5AEC" w:rsidRDefault="00000000">
            <w:pPr>
              <w:pStyle w:val="Normal0"/>
              <w:jc w:val="right"/>
              <w:rPr>
                <w:color w:val="000000"/>
                <w:sz w:val="20"/>
              </w:rPr>
            </w:pPr>
            <w:r>
              <w:rPr>
                <w:color w:val="000000"/>
                <w:sz w:val="20"/>
              </w:rPr>
              <w:t>5,346,043</w:t>
            </w:r>
          </w:p>
        </w:tc>
        <w:tc>
          <w:tcPr>
            <w:tcW w:w="50" w:type="pct"/>
            <w:shd w:val="clear" w:color="auto" w:fill="FFFFFF"/>
            <w:noWrap/>
            <w:tcMar>
              <w:top w:w="15" w:type="dxa"/>
              <w:left w:w="0" w:type="dxa"/>
              <w:bottom w:w="0" w:type="dxa"/>
              <w:right w:w="15" w:type="dxa"/>
            </w:tcMar>
            <w:vAlign w:val="bottom"/>
          </w:tcPr>
          <w:p w14:paraId="37E4BF9B" w14:textId="77777777" w:rsidR="009A5AEC" w:rsidRDefault="00000000">
            <w:pPr>
              <w:pStyle w:val="Normal0"/>
              <w:rPr>
                <w:color w:val="000000"/>
                <w:sz w:val="20"/>
              </w:rPr>
            </w:pPr>
            <w:r>
              <w:rPr>
                <w:color w:val="000000"/>
                <w:sz w:val="20"/>
              </w:rPr>
              <w:t xml:space="preserve"> </w:t>
            </w:r>
          </w:p>
        </w:tc>
        <w:tc>
          <w:tcPr>
            <w:tcW w:w="87" w:type="pct"/>
            <w:shd w:val="clear" w:color="auto" w:fill="FFFFFF"/>
            <w:tcMar>
              <w:top w:w="15" w:type="dxa"/>
              <w:left w:w="0" w:type="dxa"/>
              <w:bottom w:w="0" w:type="dxa"/>
              <w:right w:w="15" w:type="dxa"/>
            </w:tcMar>
            <w:vAlign w:val="bottom"/>
          </w:tcPr>
          <w:p w14:paraId="5D975DBF" w14:textId="77777777" w:rsidR="009A5AEC" w:rsidRDefault="00000000">
            <w:pPr>
              <w:pStyle w:val="Normal0"/>
              <w:rPr>
                <w:color w:val="000000"/>
                <w:sz w:val="20"/>
              </w:rPr>
            </w:pPr>
            <w:r>
              <w:rPr>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12F44A52" w14:textId="77777777" w:rsidR="009A5AEC" w:rsidRDefault="00000000">
            <w:pPr>
              <w:pStyle w:val="Normal0"/>
              <w:rPr>
                <w:color w:val="000000"/>
                <w:sz w:val="20"/>
              </w:rPr>
            </w:pPr>
            <w:r>
              <w:rPr>
                <w:color w:val="000000"/>
                <w:sz w:val="20"/>
              </w:rPr>
              <w:t xml:space="preserve"> </w:t>
            </w:r>
          </w:p>
        </w:tc>
        <w:tc>
          <w:tcPr>
            <w:tcW w:w="787" w:type="pct"/>
            <w:tcBorders>
              <w:bottom w:val="double" w:sz="6" w:space="0" w:color="000000"/>
            </w:tcBorders>
            <w:shd w:val="clear" w:color="auto" w:fill="FFFFFF"/>
            <w:noWrap/>
            <w:tcMar>
              <w:top w:w="15" w:type="dxa"/>
              <w:left w:w="0" w:type="dxa"/>
              <w:bottom w:w="0" w:type="dxa"/>
              <w:right w:w="15" w:type="dxa"/>
            </w:tcMar>
            <w:vAlign w:val="bottom"/>
          </w:tcPr>
          <w:p w14:paraId="40D3EEC6" w14:textId="77777777" w:rsidR="009A5AEC" w:rsidRDefault="00000000">
            <w:pPr>
              <w:pStyle w:val="Normal0"/>
              <w:jc w:val="right"/>
              <w:rPr>
                <w:color w:val="000000"/>
                <w:sz w:val="20"/>
              </w:rPr>
            </w:pPr>
            <w:r>
              <w:rPr>
                <w:color w:val="000000"/>
                <w:sz w:val="20"/>
              </w:rPr>
              <w:t>5,273,786</w:t>
            </w:r>
          </w:p>
        </w:tc>
        <w:tc>
          <w:tcPr>
            <w:tcW w:w="50" w:type="pct"/>
            <w:shd w:val="clear" w:color="auto" w:fill="FFFFFF"/>
            <w:noWrap/>
            <w:tcMar>
              <w:top w:w="15" w:type="dxa"/>
              <w:left w:w="0" w:type="dxa"/>
              <w:bottom w:w="0" w:type="dxa"/>
              <w:right w:w="15" w:type="dxa"/>
            </w:tcMar>
            <w:vAlign w:val="bottom"/>
          </w:tcPr>
          <w:p w14:paraId="1D7C0A9B" w14:textId="77777777" w:rsidR="009A5AEC" w:rsidRDefault="00000000">
            <w:pPr>
              <w:pStyle w:val="Normal0"/>
              <w:rPr>
                <w:color w:val="000000"/>
                <w:sz w:val="20"/>
              </w:rPr>
            </w:pPr>
            <w:r>
              <w:rPr>
                <w:color w:val="000000"/>
                <w:sz w:val="20"/>
              </w:rPr>
              <w:t xml:space="preserve"> </w:t>
            </w:r>
          </w:p>
        </w:tc>
      </w:tr>
      <w:tr w:rsidR="003116D1" w14:paraId="66F38E09" w14:textId="77777777">
        <w:trPr>
          <w:cantSplit/>
          <w:jc w:val="center"/>
        </w:trPr>
        <w:tc>
          <w:tcPr>
            <w:tcW w:w="3050" w:type="pct"/>
            <w:shd w:val="clear" w:color="auto" w:fill="FFFFFF"/>
            <w:tcMar>
              <w:top w:w="15" w:type="dxa"/>
              <w:left w:w="0" w:type="dxa"/>
              <w:bottom w:w="0" w:type="dxa"/>
              <w:right w:w="15" w:type="dxa"/>
            </w:tcMar>
            <w:vAlign w:val="bottom"/>
          </w:tcPr>
          <w:p w14:paraId="007E91E8" w14:textId="77777777" w:rsidR="009A5AEC" w:rsidRDefault="00000000">
            <w:pPr>
              <w:pStyle w:val="Normal0"/>
              <w:keepNext/>
              <w:ind w:left="274"/>
              <w:rPr>
                <w:color w:val="000000"/>
                <w:sz w:val="20"/>
              </w:rPr>
            </w:pPr>
            <w:r>
              <w:rPr>
                <w:color w:val="000000"/>
                <w:sz w:val="20"/>
              </w:rPr>
              <w:t xml:space="preserve"> Adjusted EBITDA per share</w:t>
            </w:r>
          </w:p>
        </w:tc>
        <w:tc>
          <w:tcPr>
            <w:tcW w:w="87" w:type="pct"/>
            <w:shd w:val="clear" w:color="auto" w:fill="FFFFFF"/>
            <w:tcMar>
              <w:top w:w="15" w:type="dxa"/>
              <w:left w:w="0" w:type="dxa"/>
              <w:bottom w:w="0" w:type="dxa"/>
              <w:right w:w="15" w:type="dxa"/>
            </w:tcMar>
            <w:vAlign w:val="bottom"/>
          </w:tcPr>
          <w:p w14:paraId="12B01699"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085FB099" w14:textId="77777777" w:rsidR="009A5AEC" w:rsidRDefault="00000000">
            <w:pPr>
              <w:pStyle w:val="Normal0"/>
              <w:rPr>
                <w:color w:val="000000"/>
                <w:sz w:val="20"/>
              </w:rPr>
            </w:pPr>
            <w:r>
              <w:rPr>
                <w:color w:val="000000"/>
                <w:sz w:val="20"/>
              </w:rPr>
              <w:t>$</w:t>
            </w:r>
          </w:p>
        </w:tc>
        <w:tc>
          <w:tcPr>
            <w:tcW w:w="787"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5A06815C" w14:textId="77777777" w:rsidR="009A5AEC" w:rsidRDefault="00000000">
            <w:pPr>
              <w:pStyle w:val="Normal0"/>
              <w:jc w:val="right"/>
              <w:rPr>
                <w:color w:val="000000"/>
                <w:sz w:val="20"/>
              </w:rPr>
            </w:pPr>
            <w:r>
              <w:rPr>
                <w:color w:val="000000"/>
                <w:sz w:val="20"/>
              </w:rPr>
              <w:t>0.11</w:t>
            </w:r>
          </w:p>
        </w:tc>
        <w:tc>
          <w:tcPr>
            <w:tcW w:w="50" w:type="pct"/>
            <w:shd w:val="clear" w:color="auto" w:fill="FFFFFF"/>
            <w:noWrap/>
            <w:tcMar>
              <w:top w:w="15" w:type="dxa"/>
              <w:left w:w="0" w:type="dxa"/>
              <w:bottom w:w="0" w:type="dxa"/>
              <w:right w:w="15" w:type="dxa"/>
            </w:tcMar>
            <w:vAlign w:val="bottom"/>
          </w:tcPr>
          <w:p w14:paraId="469D8937" w14:textId="77777777" w:rsidR="009A5AEC" w:rsidRDefault="00000000">
            <w:pPr>
              <w:pStyle w:val="Normal0"/>
              <w:rPr>
                <w:color w:val="000000"/>
                <w:sz w:val="20"/>
              </w:rPr>
            </w:pPr>
            <w:r>
              <w:rPr>
                <w:color w:val="000000"/>
                <w:sz w:val="20"/>
              </w:rPr>
              <w:t xml:space="preserve"> </w:t>
            </w:r>
          </w:p>
        </w:tc>
        <w:tc>
          <w:tcPr>
            <w:tcW w:w="87" w:type="pct"/>
            <w:shd w:val="clear" w:color="auto" w:fill="FFFFFF"/>
            <w:tcMar>
              <w:top w:w="15" w:type="dxa"/>
              <w:left w:w="0" w:type="dxa"/>
              <w:bottom w:w="0" w:type="dxa"/>
              <w:right w:w="15" w:type="dxa"/>
            </w:tcMar>
            <w:vAlign w:val="bottom"/>
          </w:tcPr>
          <w:p w14:paraId="24A5DC99"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0A0C965A" w14:textId="77777777" w:rsidR="009A5AEC" w:rsidRDefault="00000000">
            <w:pPr>
              <w:pStyle w:val="Normal0"/>
              <w:rPr>
                <w:color w:val="000000"/>
                <w:sz w:val="20"/>
              </w:rPr>
            </w:pPr>
            <w:r>
              <w:rPr>
                <w:color w:val="000000"/>
                <w:sz w:val="20"/>
              </w:rPr>
              <w:t>$</w:t>
            </w:r>
          </w:p>
        </w:tc>
        <w:tc>
          <w:tcPr>
            <w:tcW w:w="787"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1FF0BA16" w14:textId="77777777" w:rsidR="009A5AEC" w:rsidRDefault="00000000">
            <w:pPr>
              <w:pStyle w:val="Normal0"/>
              <w:jc w:val="right"/>
              <w:rPr>
                <w:color w:val="000000"/>
                <w:sz w:val="20"/>
              </w:rPr>
            </w:pPr>
            <w:r>
              <w:rPr>
                <w:color w:val="000000"/>
                <w:sz w:val="20"/>
              </w:rPr>
              <w:t>0.14</w:t>
            </w:r>
          </w:p>
        </w:tc>
        <w:tc>
          <w:tcPr>
            <w:tcW w:w="50" w:type="pct"/>
            <w:shd w:val="clear" w:color="auto" w:fill="FFFFFF"/>
            <w:noWrap/>
            <w:tcMar>
              <w:top w:w="15" w:type="dxa"/>
              <w:left w:w="0" w:type="dxa"/>
              <w:bottom w:w="0" w:type="dxa"/>
              <w:right w:w="15" w:type="dxa"/>
            </w:tcMar>
            <w:vAlign w:val="bottom"/>
          </w:tcPr>
          <w:p w14:paraId="711FAB17" w14:textId="77777777" w:rsidR="009A5AEC" w:rsidRDefault="00000000">
            <w:pPr>
              <w:pStyle w:val="Normal0"/>
              <w:rPr>
                <w:color w:val="000000"/>
                <w:sz w:val="20"/>
              </w:rPr>
            </w:pPr>
            <w:r>
              <w:rPr>
                <w:color w:val="000000"/>
                <w:sz w:val="20"/>
              </w:rPr>
              <w:t xml:space="preserve"> </w:t>
            </w:r>
          </w:p>
        </w:tc>
      </w:tr>
      <w:tr w:rsidR="003116D1" w14:paraId="43C8049B" w14:textId="77777777">
        <w:trPr>
          <w:cantSplit/>
          <w:jc w:val="center"/>
        </w:trPr>
        <w:tc>
          <w:tcPr>
            <w:tcW w:w="3050" w:type="pct"/>
            <w:shd w:val="clear" w:color="auto" w:fill="FFFFFF"/>
            <w:tcMar>
              <w:top w:w="15" w:type="dxa"/>
              <w:left w:w="0" w:type="dxa"/>
              <w:bottom w:w="0" w:type="dxa"/>
              <w:right w:w="15" w:type="dxa"/>
            </w:tcMar>
            <w:vAlign w:val="bottom"/>
          </w:tcPr>
          <w:p w14:paraId="289CD2B3" w14:textId="77777777" w:rsidR="009A5AEC" w:rsidRDefault="00000000">
            <w:pPr>
              <w:pStyle w:val="Normal0"/>
              <w:keepNext/>
              <w:ind w:left="274"/>
              <w:rPr>
                <w:color w:val="000000"/>
                <w:sz w:val="20"/>
              </w:rPr>
            </w:pPr>
            <w:r>
              <w:rPr>
                <w:color w:val="000000"/>
                <w:sz w:val="20"/>
              </w:rPr>
              <w:t xml:space="preserve"> </w:t>
            </w:r>
          </w:p>
        </w:tc>
        <w:tc>
          <w:tcPr>
            <w:tcW w:w="87" w:type="pct"/>
            <w:shd w:val="clear" w:color="auto" w:fill="FFFFFF"/>
            <w:tcMar>
              <w:top w:w="15" w:type="dxa"/>
              <w:left w:w="0" w:type="dxa"/>
              <w:bottom w:w="0" w:type="dxa"/>
              <w:right w:w="15" w:type="dxa"/>
            </w:tcMar>
            <w:vAlign w:val="bottom"/>
          </w:tcPr>
          <w:p w14:paraId="234BF84B"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348111DD" w14:textId="77777777" w:rsidR="009A5AEC" w:rsidRDefault="00000000">
            <w:pPr>
              <w:pStyle w:val="Normal0"/>
              <w:rPr>
                <w:color w:val="000000"/>
                <w:sz w:val="20"/>
              </w:rPr>
            </w:pPr>
            <w:r>
              <w:rPr>
                <w:color w:val="000000"/>
                <w:sz w:val="20"/>
              </w:rPr>
              <w:t xml:space="preserve"> </w:t>
            </w:r>
          </w:p>
        </w:tc>
        <w:tc>
          <w:tcPr>
            <w:tcW w:w="787" w:type="pct"/>
            <w:tcBorders>
              <w:top w:val="double" w:sz="6" w:space="0" w:color="000000"/>
            </w:tcBorders>
            <w:shd w:val="clear" w:color="auto" w:fill="FFFFFF"/>
            <w:noWrap/>
            <w:tcMar>
              <w:top w:w="15" w:type="dxa"/>
              <w:left w:w="0" w:type="dxa"/>
              <w:bottom w:w="0" w:type="dxa"/>
              <w:right w:w="15" w:type="dxa"/>
            </w:tcMar>
            <w:vAlign w:val="bottom"/>
          </w:tcPr>
          <w:p w14:paraId="5697231A"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7F2A71C9" w14:textId="77777777" w:rsidR="009A5AEC" w:rsidRDefault="00000000">
            <w:pPr>
              <w:pStyle w:val="Normal0"/>
              <w:rPr>
                <w:color w:val="000000"/>
                <w:sz w:val="20"/>
              </w:rPr>
            </w:pPr>
            <w:r>
              <w:rPr>
                <w:color w:val="000000"/>
                <w:sz w:val="20"/>
              </w:rPr>
              <w:t xml:space="preserve"> </w:t>
            </w:r>
          </w:p>
        </w:tc>
        <w:tc>
          <w:tcPr>
            <w:tcW w:w="87" w:type="pct"/>
            <w:shd w:val="clear" w:color="auto" w:fill="FFFFFF"/>
            <w:tcMar>
              <w:top w:w="15" w:type="dxa"/>
              <w:left w:w="0" w:type="dxa"/>
              <w:bottom w:w="0" w:type="dxa"/>
              <w:right w:w="15" w:type="dxa"/>
            </w:tcMar>
            <w:vAlign w:val="bottom"/>
          </w:tcPr>
          <w:p w14:paraId="1A5C27F4"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5C757FE6" w14:textId="77777777" w:rsidR="009A5AEC" w:rsidRDefault="00000000">
            <w:pPr>
              <w:pStyle w:val="Normal0"/>
              <w:rPr>
                <w:color w:val="000000"/>
                <w:sz w:val="20"/>
              </w:rPr>
            </w:pPr>
            <w:r>
              <w:rPr>
                <w:color w:val="000000"/>
                <w:sz w:val="20"/>
              </w:rPr>
              <w:t xml:space="preserve"> </w:t>
            </w:r>
          </w:p>
        </w:tc>
        <w:tc>
          <w:tcPr>
            <w:tcW w:w="787" w:type="pct"/>
            <w:tcBorders>
              <w:top w:val="double" w:sz="6" w:space="0" w:color="000000"/>
            </w:tcBorders>
            <w:shd w:val="clear" w:color="auto" w:fill="FFFFFF"/>
            <w:noWrap/>
            <w:tcMar>
              <w:top w:w="15" w:type="dxa"/>
              <w:left w:w="0" w:type="dxa"/>
              <w:bottom w:w="0" w:type="dxa"/>
              <w:right w:w="15" w:type="dxa"/>
            </w:tcMar>
            <w:vAlign w:val="bottom"/>
          </w:tcPr>
          <w:p w14:paraId="22B8869A"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1C1098F1" w14:textId="77777777" w:rsidR="009A5AEC" w:rsidRDefault="00000000">
            <w:pPr>
              <w:pStyle w:val="Normal0"/>
              <w:rPr>
                <w:color w:val="000000"/>
                <w:sz w:val="20"/>
              </w:rPr>
            </w:pPr>
            <w:r>
              <w:rPr>
                <w:color w:val="000000"/>
                <w:sz w:val="20"/>
              </w:rPr>
              <w:t xml:space="preserve"> </w:t>
            </w:r>
          </w:p>
        </w:tc>
      </w:tr>
      <w:tr w:rsidR="003116D1" w14:paraId="057F0002" w14:textId="77777777">
        <w:trPr>
          <w:cantSplit/>
          <w:jc w:val="center"/>
        </w:trPr>
        <w:tc>
          <w:tcPr>
            <w:tcW w:w="3050" w:type="pct"/>
            <w:shd w:val="clear" w:color="auto" w:fill="FFFFFF"/>
            <w:tcMar>
              <w:top w:w="15" w:type="dxa"/>
              <w:left w:w="0" w:type="dxa"/>
              <w:bottom w:w="0" w:type="dxa"/>
              <w:right w:w="15" w:type="dxa"/>
            </w:tcMar>
            <w:vAlign w:val="bottom"/>
          </w:tcPr>
          <w:p w14:paraId="6B658AD8" w14:textId="77777777" w:rsidR="009A5AEC" w:rsidRDefault="00000000">
            <w:pPr>
              <w:pStyle w:val="Normal0"/>
              <w:keepNext/>
              <w:rPr>
                <w:color w:val="000000"/>
                <w:sz w:val="20"/>
              </w:rPr>
            </w:pPr>
            <w:r>
              <w:rPr>
                <w:color w:val="000000"/>
                <w:sz w:val="20"/>
              </w:rPr>
              <w:t xml:space="preserve"> Diluted per share information:</w:t>
            </w:r>
          </w:p>
        </w:tc>
        <w:tc>
          <w:tcPr>
            <w:tcW w:w="87" w:type="pct"/>
            <w:shd w:val="clear" w:color="auto" w:fill="FFFFFF"/>
            <w:tcMar>
              <w:top w:w="15" w:type="dxa"/>
              <w:left w:w="0" w:type="dxa"/>
              <w:bottom w:w="0" w:type="dxa"/>
              <w:right w:w="15" w:type="dxa"/>
            </w:tcMar>
            <w:vAlign w:val="bottom"/>
          </w:tcPr>
          <w:p w14:paraId="318C66D2"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725164EC" w14:textId="77777777" w:rsidR="009A5AEC" w:rsidRDefault="00000000">
            <w:pPr>
              <w:pStyle w:val="Normal0"/>
              <w:rPr>
                <w:color w:val="000000"/>
                <w:sz w:val="20"/>
              </w:rPr>
            </w:pPr>
            <w:r>
              <w:rPr>
                <w:color w:val="000000"/>
                <w:sz w:val="20"/>
              </w:rPr>
              <w:t xml:space="preserve"> </w:t>
            </w:r>
          </w:p>
        </w:tc>
        <w:tc>
          <w:tcPr>
            <w:tcW w:w="787" w:type="pct"/>
            <w:shd w:val="clear" w:color="auto" w:fill="FFFFFF"/>
            <w:noWrap/>
            <w:tcMar>
              <w:top w:w="15" w:type="dxa"/>
              <w:left w:w="0" w:type="dxa"/>
              <w:bottom w:w="0" w:type="dxa"/>
              <w:right w:w="15" w:type="dxa"/>
            </w:tcMar>
            <w:vAlign w:val="bottom"/>
          </w:tcPr>
          <w:p w14:paraId="37999B62"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1AEADCF0" w14:textId="77777777" w:rsidR="009A5AEC" w:rsidRDefault="00000000">
            <w:pPr>
              <w:pStyle w:val="Normal0"/>
              <w:rPr>
                <w:color w:val="000000"/>
                <w:sz w:val="20"/>
              </w:rPr>
            </w:pPr>
            <w:r>
              <w:rPr>
                <w:color w:val="000000"/>
                <w:sz w:val="20"/>
              </w:rPr>
              <w:t xml:space="preserve"> </w:t>
            </w:r>
          </w:p>
        </w:tc>
        <w:tc>
          <w:tcPr>
            <w:tcW w:w="87" w:type="pct"/>
            <w:shd w:val="clear" w:color="auto" w:fill="FFFFFF"/>
            <w:tcMar>
              <w:top w:w="15" w:type="dxa"/>
              <w:left w:w="0" w:type="dxa"/>
              <w:bottom w:w="0" w:type="dxa"/>
              <w:right w:w="15" w:type="dxa"/>
            </w:tcMar>
            <w:vAlign w:val="bottom"/>
          </w:tcPr>
          <w:p w14:paraId="3F2AB0F7"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63D3BC09" w14:textId="77777777" w:rsidR="009A5AEC" w:rsidRDefault="00000000">
            <w:pPr>
              <w:pStyle w:val="Normal0"/>
              <w:rPr>
                <w:color w:val="000000"/>
                <w:sz w:val="20"/>
              </w:rPr>
            </w:pPr>
            <w:r>
              <w:rPr>
                <w:color w:val="000000"/>
                <w:sz w:val="20"/>
              </w:rPr>
              <w:t xml:space="preserve"> </w:t>
            </w:r>
          </w:p>
        </w:tc>
        <w:tc>
          <w:tcPr>
            <w:tcW w:w="787" w:type="pct"/>
            <w:shd w:val="clear" w:color="auto" w:fill="FFFFFF"/>
            <w:noWrap/>
            <w:tcMar>
              <w:top w:w="15" w:type="dxa"/>
              <w:left w:w="0" w:type="dxa"/>
              <w:bottom w:w="0" w:type="dxa"/>
              <w:right w:w="15" w:type="dxa"/>
            </w:tcMar>
            <w:vAlign w:val="bottom"/>
          </w:tcPr>
          <w:p w14:paraId="4CE189F9" w14:textId="77777777" w:rsidR="009A5AEC" w:rsidRDefault="00000000">
            <w:pPr>
              <w:pStyle w:val="Normal0"/>
              <w:rPr>
                <w:color w:val="000000"/>
                <w:sz w:val="20"/>
              </w:rPr>
            </w:pPr>
            <w:r>
              <w:rPr>
                <w:color w:val="000000"/>
                <w:sz w:val="20"/>
              </w:rPr>
              <w:t xml:space="preserve"> </w:t>
            </w:r>
          </w:p>
        </w:tc>
        <w:tc>
          <w:tcPr>
            <w:tcW w:w="50" w:type="pct"/>
            <w:shd w:val="clear" w:color="auto" w:fill="FFFFFF"/>
            <w:noWrap/>
            <w:tcMar>
              <w:top w:w="15" w:type="dxa"/>
              <w:left w:w="0" w:type="dxa"/>
              <w:bottom w:w="0" w:type="dxa"/>
              <w:right w:w="15" w:type="dxa"/>
            </w:tcMar>
            <w:vAlign w:val="bottom"/>
          </w:tcPr>
          <w:p w14:paraId="0376F418" w14:textId="77777777" w:rsidR="009A5AEC" w:rsidRDefault="00000000">
            <w:pPr>
              <w:pStyle w:val="Normal0"/>
              <w:rPr>
                <w:color w:val="000000"/>
                <w:sz w:val="20"/>
              </w:rPr>
            </w:pPr>
            <w:r>
              <w:rPr>
                <w:color w:val="000000"/>
                <w:sz w:val="20"/>
              </w:rPr>
              <w:t xml:space="preserve"> </w:t>
            </w:r>
          </w:p>
        </w:tc>
      </w:tr>
      <w:tr w:rsidR="003116D1" w14:paraId="4F0EF067" w14:textId="77777777">
        <w:trPr>
          <w:cantSplit/>
          <w:jc w:val="center"/>
        </w:trPr>
        <w:tc>
          <w:tcPr>
            <w:tcW w:w="3050" w:type="pct"/>
            <w:shd w:val="clear" w:color="auto" w:fill="FFFFFF"/>
            <w:tcMar>
              <w:top w:w="15" w:type="dxa"/>
              <w:left w:w="0" w:type="dxa"/>
              <w:bottom w:w="0" w:type="dxa"/>
              <w:right w:w="15" w:type="dxa"/>
            </w:tcMar>
            <w:vAlign w:val="bottom"/>
          </w:tcPr>
          <w:p w14:paraId="7430048C" w14:textId="77777777" w:rsidR="009A5AEC" w:rsidRDefault="00000000">
            <w:pPr>
              <w:pStyle w:val="Normal0"/>
              <w:keepNext/>
              <w:ind w:left="274"/>
              <w:rPr>
                <w:color w:val="000000"/>
                <w:sz w:val="20"/>
              </w:rPr>
            </w:pPr>
            <w:r>
              <w:rPr>
                <w:color w:val="000000"/>
                <w:sz w:val="20"/>
              </w:rPr>
              <w:t xml:space="preserve"> Weighted average shares outstanding</w:t>
            </w:r>
          </w:p>
        </w:tc>
        <w:tc>
          <w:tcPr>
            <w:tcW w:w="87" w:type="pct"/>
            <w:shd w:val="clear" w:color="auto" w:fill="FFFFFF"/>
            <w:tcMar>
              <w:top w:w="15" w:type="dxa"/>
              <w:left w:w="0" w:type="dxa"/>
              <w:bottom w:w="0" w:type="dxa"/>
              <w:right w:w="15" w:type="dxa"/>
            </w:tcMar>
            <w:vAlign w:val="bottom"/>
          </w:tcPr>
          <w:p w14:paraId="712B550F" w14:textId="77777777" w:rsidR="009A5AEC" w:rsidRDefault="00000000">
            <w:pPr>
              <w:pStyle w:val="Normal0"/>
              <w:rPr>
                <w:color w:val="000000"/>
                <w:sz w:val="20"/>
              </w:rPr>
            </w:pPr>
            <w:r>
              <w:rPr>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266B175D" w14:textId="77777777" w:rsidR="009A5AEC" w:rsidRDefault="00000000">
            <w:pPr>
              <w:pStyle w:val="Normal0"/>
              <w:rPr>
                <w:color w:val="000000"/>
                <w:sz w:val="20"/>
              </w:rPr>
            </w:pPr>
            <w:r>
              <w:rPr>
                <w:color w:val="000000"/>
                <w:sz w:val="20"/>
              </w:rPr>
              <w:t xml:space="preserve"> </w:t>
            </w:r>
          </w:p>
        </w:tc>
        <w:tc>
          <w:tcPr>
            <w:tcW w:w="787" w:type="pct"/>
            <w:tcBorders>
              <w:bottom w:val="double" w:sz="6" w:space="0" w:color="000000"/>
            </w:tcBorders>
            <w:shd w:val="clear" w:color="auto" w:fill="FFFFFF"/>
            <w:noWrap/>
            <w:tcMar>
              <w:top w:w="15" w:type="dxa"/>
              <w:left w:w="0" w:type="dxa"/>
              <w:bottom w:w="0" w:type="dxa"/>
              <w:right w:w="15" w:type="dxa"/>
            </w:tcMar>
            <w:vAlign w:val="bottom"/>
          </w:tcPr>
          <w:p w14:paraId="756C0873" w14:textId="77777777" w:rsidR="009A5AEC" w:rsidRDefault="00000000">
            <w:pPr>
              <w:pStyle w:val="Normal0"/>
              <w:jc w:val="right"/>
              <w:rPr>
                <w:color w:val="000000"/>
                <w:sz w:val="20"/>
              </w:rPr>
            </w:pPr>
            <w:r>
              <w:rPr>
                <w:color w:val="000000"/>
                <w:sz w:val="20"/>
              </w:rPr>
              <w:t>5,346,043</w:t>
            </w:r>
          </w:p>
        </w:tc>
        <w:tc>
          <w:tcPr>
            <w:tcW w:w="50" w:type="pct"/>
            <w:shd w:val="clear" w:color="auto" w:fill="FFFFFF"/>
            <w:noWrap/>
            <w:tcMar>
              <w:top w:w="15" w:type="dxa"/>
              <w:left w:w="0" w:type="dxa"/>
              <w:bottom w:w="0" w:type="dxa"/>
              <w:right w:w="15" w:type="dxa"/>
            </w:tcMar>
            <w:vAlign w:val="bottom"/>
          </w:tcPr>
          <w:p w14:paraId="4C8D106C" w14:textId="77777777" w:rsidR="009A5AEC" w:rsidRDefault="00000000">
            <w:pPr>
              <w:pStyle w:val="Normal0"/>
              <w:rPr>
                <w:color w:val="000000"/>
                <w:sz w:val="20"/>
              </w:rPr>
            </w:pPr>
            <w:r>
              <w:rPr>
                <w:color w:val="000000"/>
                <w:sz w:val="20"/>
              </w:rPr>
              <w:t xml:space="preserve"> </w:t>
            </w:r>
          </w:p>
        </w:tc>
        <w:tc>
          <w:tcPr>
            <w:tcW w:w="87" w:type="pct"/>
            <w:shd w:val="clear" w:color="auto" w:fill="FFFFFF"/>
            <w:tcMar>
              <w:top w:w="15" w:type="dxa"/>
              <w:left w:w="0" w:type="dxa"/>
              <w:bottom w:w="0" w:type="dxa"/>
              <w:right w:w="15" w:type="dxa"/>
            </w:tcMar>
            <w:vAlign w:val="bottom"/>
          </w:tcPr>
          <w:p w14:paraId="5ABBE7C2" w14:textId="77777777" w:rsidR="009A5AEC" w:rsidRDefault="00000000">
            <w:pPr>
              <w:pStyle w:val="Normal0"/>
              <w:rPr>
                <w:color w:val="000000"/>
                <w:sz w:val="20"/>
              </w:rPr>
            </w:pPr>
            <w:r>
              <w:rPr>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75B6E639" w14:textId="77777777" w:rsidR="009A5AEC" w:rsidRDefault="00000000">
            <w:pPr>
              <w:pStyle w:val="Normal0"/>
              <w:rPr>
                <w:color w:val="000000"/>
                <w:sz w:val="20"/>
              </w:rPr>
            </w:pPr>
            <w:r>
              <w:rPr>
                <w:color w:val="000000"/>
                <w:sz w:val="20"/>
              </w:rPr>
              <w:t xml:space="preserve"> </w:t>
            </w:r>
          </w:p>
        </w:tc>
        <w:tc>
          <w:tcPr>
            <w:tcW w:w="787" w:type="pct"/>
            <w:tcBorders>
              <w:bottom w:val="double" w:sz="6" w:space="0" w:color="000000"/>
            </w:tcBorders>
            <w:shd w:val="clear" w:color="auto" w:fill="FFFFFF"/>
            <w:noWrap/>
            <w:tcMar>
              <w:top w:w="15" w:type="dxa"/>
              <w:left w:w="0" w:type="dxa"/>
              <w:bottom w:w="0" w:type="dxa"/>
              <w:right w:w="15" w:type="dxa"/>
            </w:tcMar>
            <w:vAlign w:val="bottom"/>
          </w:tcPr>
          <w:p w14:paraId="04AB165E" w14:textId="77777777" w:rsidR="009A5AEC" w:rsidRDefault="00000000">
            <w:pPr>
              <w:pStyle w:val="Normal0"/>
              <w:jc w:val="right"/>
              <w:rPr>
                <w:color w:val="000000"/>
                <w:sz w:val="20"/>
              </w:rPr>
            </w:pPr>
            <w:r>
              <w:rPr>
                <w:color w:val="000000"/>
                <w:sz w:val="20"/>
              </w:rPr>
              <w:t>5,325,815</w:t>
            </w:r>
          </w:p>
        </w:tc>
        <w:tc>
          <w:tcPr>
            <w:tcW w:w="50" w:type="pct"/>
            <w:shd w:val="clear" w:color="auto" w:fill="FFFFFF"/>
            <w:noWrap/>
            <w:tcMar>
              <w:top w:w="15" w:type="dxa"/>
              <w:left w:w="0" w:type="dxa"/>
              <w:bottom w:w="0" w:type="dxa"/>
              <w:right w:w="15" w:type="dxa"/>
            </w:tcMar>
            <w:vAlign w:val="bottom"/>
          </w:tcPr>
          <w:p w14:paraId="3285B8CA" w14:textId="77777777" w:rsidR="009A5AEC" w:rsidRDefault="00000000">
            <w:pPr>
              <w:pStyle w:val="Normal0"/>
              <w:rPr>
                <w:color w:val="000000"/>
                <w:sz w:val="20"/>
              </w:rPr>
            </w:pPr>
            <w:r>
              <w:rPr>
                <w:color w:val="000000"/>
                <w:sz w:val="20"/>
              </w:rPr>
              <w:t xml:space="preserve"> </w:t>
            </w:r>
          </w:p>
        </w:tc>
      </w:tr>
      <w:tr w:rsidR="003116D1" w14:paraId="180928BC" w14:textId="77777777">
        <w:trPr>
          <w:cantSplit/>
          <w:jc w:val="center"/>
        </w:trPr>
        <w:tc>
          <w:tcPr>
            <w:tcW w:w="3050" w:type="pct"/>
            <w:shd w:val="clear" w:color="auto" w:fill="FFFFFF"/>
            <w:tcMar>
              <w:top w:w="15" w:type="dxa"/>
              <w:left w:w="0" w:type="dxa"/>
              <w:bottom w:w="0" w:type="dxa"/>
              <w:right w:w="15" w:type="dxa"/>
            </w:tcMar>
            <w:vAlign w:val="bottom"/>
          </w:tcPr>
          <w:p w14:paraId="0B298327" w14:textId="77777777" w:rsidR="009A5AEC" w:rsidRDefault="00000000">
            <w:pPr>
              <w:pStyle w:val="Normal0"/>
              <w:ind w:left="274"/>
              <w:rPr>
                <w:color w:val="000000"/>
                <w:sz w:val="20"/>
              </w:rPr>
            </w:pPr>
            <w:r>
              <w:rPr>
                <w:color w:val="000000"/>
                <w:sz w:val="20"/>
              </w:rPr>
              <w:t xml:space="preserve"> Adjusted EBITDA per share</w:t>
            </w:r>
          </w:p>
        </w:tc>
        <w:tc>
          <w:tcPr>
            <w:tcW w:w="87" w:type="pct"/>
            <w:shd w:val="clear" w:color="auto" w:fill="FFFFFF"/>
            <w:tcMar>
              <w:top w:w="15" w:type="dxa"/>
              <w:left w:w="0" w:type="dxa"/>
              <w:bottom w:w="0" w:type="dxa"/>
              <w:right w:w="15" w:type="dxa"/>
            </w:tcMar>
            <w:vAlign w:val="bottom"/>
          </w:tcPr>
          <w:p w14:paraId="52991994"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56771543" w14:textId="77777777" w:rsidR="009A5AEC" w:rsidRDefault="00000000">
            <w:pPr>
              <w:pStyle w:val="Normal0"/>
              <w:rPr>
                <w:color w:val="000000"/>
                <w:sz w:val="20"/>
              </w:rPr>
            </w:pPr>
            <w:r>
              <w:rPr>
                <w:color w:val="000000"/>
                <w:sz w:val="20"/>
              </w:rPr>
              <w:t>$</w:t>
            </w:r>
          </w:p>
        </w:tc>
        <w:tc>
          <w:tcPr>
            <w:tcW w:w="787"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317784A8" w14:textId="77777777" w:rsidR="009A5AEC" w:rsidRDefault="00000000">
            <w:pPr>
              <w:pStyle w:val="Normal0"/>
              <w:jc w:val="right"/>
              <w:rPr>
                <w:color w:val="000000"/>
                <w:sz w:val="20"/>
              </w:rPr>
            </w:pPr>
            <w:r>
              <w:rPr>
                <w:color w:val="000000"/>
                <w:sz w:val="20"/>
              </w:rPr>
              <w:t>0.11</w:t>
            </w:r>
          </w:p>
        </w:tc>
        <w:tc>
          <w:tcPr>
            <w:tcW w:w="50" w:type="pct"/>
            <w:shd w:val="clear" w:color="auto" w:fill="FFFFFF"/>
            <w:noWrap/>
            <w:tcMar>
              <w:top w:w="15" w:type="dxa"/>
              <w:left w:w="0" w:type="dxa"/>
              <w:bottom w:w="0" w:type="dxa"/>
              <w:right w:w="15" w:type="dxa"/>
            </w:tcMar>
            <w:vAlign w:val="bottom"/>
          </w:tcPr>
          <w:p w14:paraId="5128E84A" w14:textId="77777777" w:rsidR="009A5AEC" w:rsidRDefault="00000000">
            <w:pPr>
              <w:pStyle w:val="Normal0"/>
              <w:rPr>
                <w:color w:val="000000"/>
                <w:sz w:val="20"/>
              </w:rPr>
            </w:pPr>
            <w:r>
              <w:rPr>
                <w:color w:val="000000"/>
                <w:sz w:val="20"/>
              </w:rPr>
              <w:t xml:space="preserve"> </w:t>
            </w:r>
          </w:p>
        </w:tc>
        <w:tc>
          <w:tcPr>
            <w:tcW w:w="87" w:type="pct"/>
            <w:shd w:val="clear" w:color="auto" w:fill="FFFFFF"/>
            <w:tcMar>
              <w:top w:w="15" w:type="dxa"/>
              <w:left w:w="0" w:type="dxa"/>
              <w:bottom w:w="0" w:type="dxa"/>
              <w:right w:w="15" w:type="dxa"/>
            </w:tcMar>
            <w:vAlign w:val="bottom"/>
          </w:tcPr>
          <w:p w14:paraId="29642EC2" w14:textId="77777777" w:rsidR="009A5AEC" w:rsidRDefault="00000000">
            <w:pPr>
              <w:pStyle w:val="Normal0"/>
              <w:rPr>
                <w:color w:val="000000"/>
                <w:sz w:val="20"/>
              </w:rPr>
            </w:pPr>
            <w:r>
              <w:rPr>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03629415" w14:textId="77777777" w:rsidR="009A5AEC" w:rsidRDefault="00000000">
            <w:pPr>
              <w:pStyle w:val="Normal0"/>
              <w:rPr>
                <w:color w:val="000000"/>
                <w:sz w:val="20"/>
              </w:rPr>
            </w:pPr>
            <w:r>
              <w:rPr>
                <w:color w:val="000000"/>
                <w:sz w:val="20"/>
              </w:rPr>
              <w:t>$</w:t>
            </w:r>
          </w:p>
        </w:tc>
        <w:tc>
          <w:tcPr>
            <w:tcW w:w="787"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77D7A7AB" w14:textId="77777777" w:rsidR="009A5AEC" w:rsidRDefault="00000000">
            <w:pPr>
              <w:pStyle w:val="Normal0"/>
              <w:jc w:val="right"/>
              <w:rPr>
                <w:color w:val="000000"/>
                <w:sz w:val="20"/>
              </w:rPr>
            </w:pPr>
            <w:r>
              <w:rPr>
                <w:color w:val="000000"/>
                <w:sz w:val="20"/>
              </w:rPr>
              <w:t>0.14</w:t>
            </w:r>
          </w:p>
        </w:tc>
        <w:tc>
          <w:tcPr>
            <w:tcW w:w="50" w:type="pct"/>
            <w:shd w:val="clear" w:color="auto" w:fill="FFFFFF"/>
            <w:noWrap/>
            <w:tcMar>
              <w:top w:w="15" w:type="dxa"/>
              <w:left w:w="0" w:type="dxa"/>
              <w:bottom w:w="0" w:type="dxa"/>
              <w:right w:w="15" w:type="dxa"/>
            </w:tcMar>
            <w:vAlign w:val="bottom"/>
          </w:tcPr>
          <w:p w14:paraId="2748343F" w14:textId="77777777" w:rsidR="009A5AEC" w:rsidRDefault="00000000">
            <w:pPr>
              <w:pStyle w:val="Normal0"/>
              <w:rPr>
                <w:color w:val="000000"/>
                <w:sz w:val="20"/>
              </w:rPr>
            </w:pPr>
            <w:r>
              <w:rPr>
                <w:color w:val="000000"/>
                <w:sz w:val="2"/>
              </w:rPr>
              <w:t xml:space="preserve"> </w:t>
            </w:r>
          </w:p>
        </w:tc>
      </w:tr>
    </w:tbl>
    <w:p w14:paraId="326C7197" w14:textId="77777777" w:rsidR="005B016F" w:rsidRDefault="005B016F" w:rsidP="00683988">
      <w:pPr>
        <w:pStyle w:val="Normal0"/>
        <w:spacing w:after="120"/>
        <w:rPr>
          <w:sz w:val="16"/>
          <w:szCs w:val="16"/>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0" w:type="dxa"/>
          <w:right w:w="15" w:type="dxa"/>
        </w:tblCellMar>
        <w:tblLook w:val="04A0" w:firstRow="1" w:lastRow="0" w:firstColumn="1" w:lastColumn="0" w:noHBand="0" w:noVBand="1"/>
      </w:tblPr>
      <w:tblGrid>
        <w:gridCol w:w="5705"/>
        <w:gridCol w:w="154"/>
        <w:gridCol w:w="115"/>
        <w:gridCol w:w="1468"/>
        <w:gridCol w:w="88"/>
        <w:gridCol w:w="157"/>
        <w:gridCol w:w="115"/>
        <w:gridCol w:w="1470"/>
        <w:gridCol w:w="88"/>
      </w:tblGrid>
      <w:tr w:rsidR="003116D1" w14:paraId="02D5AC0F" w14:textId="77777777" w:rsidTr="003D325E">
        <w:trPr>
          <w:cantSplit/>
          <w:jc w:val="center"/>
        </w:trPr>
        <w:tc>
          <w:tcPr>
            <w:tcW w:w="3047" w:type="pct"/>
            <w:shd w:val="clear" w:color="auto" w:fill="FFFFFF"/>
            <w:tcMar>
              <w:top w:w="15" w:type="dxa"/>
              <w:left w:w="0" w:type="dxa"/>
              <w:bottom w:w="0" w:type="dxa"/>
              <w:right w:w="15" w:type="dxa"/>
            </w:tcMar>
            <w:vAlign w:val="bottom"/>
          </w:tcPr>
          <w:p w14:paraId="054E77AA" w14:textId="77777777" w:rsidR="009A5AEC" w:rsidRDefault="00000000">
            <w:pPr>
              <w:pStyle w:val="Normal0"/>
              <w:keepNext/>
              <w:rPr>
                <w:b/>
                <w:color w:val="000000"/>
                <w:sz w:val="20"/>
              </w:rPr>
            </w:pPr>
            <w:r>
              <w:t xml:space="preserve"> </w:t>
            </w:r>
          </w:p>
        </w:tc>
        <w:tc>
          <w:tcPr>
            <w:tcW w:w="83" w:type="pct"/>
            <w:shd w:val="clear" w:color="auto" w:fill="FFFFFF"/>
            <w:tcMar>
              <w:top w:w="15" w:type="dxa"/>
              <w:left w:w="0" w:type="dxa"/>
              <w:bottom w:w="0" w:type="dxa"/>
              <w:right w:w="15" w:type="dxa"/>
            </w:tcMar>
            <w:vAlign w:val="bottom"/>
          </w:tcPr>
          <w:p w14:paraId="2E516503" w14:textId="77777777" w:rsidR="009A5AEC" w:rsidRDefault="00000000">
            <w:pPr>
              <w:pStyle w:val="Normal0"/>
              <w:rPr>
                <w:color w:val="000000"/>
                <w:sz w:val="20"/>
              </w:rPr>
            </w:pPr>
            <w:r>
              <w:rPr>
                <w:color w:val="000000"/>
                <w:sz w:val="20"/>
              </w:rPr>
              <w:t xml:space="preserve"> </w:t>
            </w:r>
          </w:p>
        </w:tc>
        <w:tc>
          <w:tcPr>
            <w:tcW w:w="1822" w:type="pct"/>
            <w:gridSpan w:val="6"/>
            <w:tcBorders>
              <w:bottom w:val="single" w:sz="2" w:space="0" w:color="000000"/>
            </w:tcBorders>
            <w:shd w:val="clear" w:color="auto" w:fill="FFFFFF"/>
            <w:tcMar>
              <w:top w:w="15" w:type="dxa"/>
              <w:left w:w="0" w:type="dxa"/>
              <w:bottom w:w="0" w:type="dxa"/>
              <w:right w:w="15" w:type="dxa"/>
            </w:tcMar>
            <w:vAlign w:val="bottom"/>
          </w:tcPr>
          <w:p w14:paraId="039CFD09" w14:textId="77777777" w:rsidR="009A5AEC" w:rsidRDefault="00000000">
            <w:pPr>
              <w:pStyle w:val="Normal0"/>
              <w:jc w:val="center"/>
              <w:rPr>
                <w:b/>
                <w:color w:val="000000"/>
                <w:sz w:val="20"/>
              </w:rPr>
            </w:pPr>
            <w:r>
              <w:rPr>
                <w:b/>
                <w:color w:val="000000"/>
                <w:sz w:val="20"/>
              </w:rPr>
              <w:t>For the Nine Months Ended September 30,</w:t>
            </w:r>
          </w:p>
        </w:tc>
        <w:tc>
          <w:tcPr>
            <w:tcW w:w="47" w:type="pct"/>
            <w:shd w:val="clear" w:color="auto" w:fill="FFFFFF"/>
            <w:noWrap/>
            <w:tcMar>
              <w:top w:w="15" w:type="dxa"/>
              <w:left w:w="0" w:type="dxa"/>
              <w:bottom w:w="0" w:type="dxa"/>
              <w:right w:w="15" w:type="dxa"/>
            </w:tcMar>
            <w:vAlign w:val="bottom"/>
          </w:tcPr>
          <w:p w14:paraId="38A3E6AF" w14:textId="77777777" w:rsidR="009A5AEC" w:rsidRDefault="00000000">
            <w:pPr>
              <w:pStyle w:val="Normal0"/>
              <w:rPr>
                <w:b/>
                <w:color w:val="000000"/>
                <w:sz w:val="20"/>
              </w:rPr>
            </w:pPr>
            <w:r>
              <w:rPr>
                <w:b/>
                <w:color w:val="000000"/>
                <w:sz w:val="20"/>
              </w:rPr>
              <w:t xml:space="preserve"> </w:t>
            </w:r>
          </w:p>
        </w:tc>
      </w:tr>
      <w:tr w:rsidR="003116D1" w14:paraId="473B4307" w14:textId="77777777" w:rsidTr="003D325E">
        <w:trPr>
          <w:cantSplit/>
          <w:jc w:val="center"/>
        </w:trPr>
        <w:tc>
          <w:tcPr>
            <w:tcW w:w="3047" w:type="pct"/>
            <w:shd w:val="clear" w:color="auto" w:fill="FFFFFF"/>
            <w:tcMar>
              <w:top w:w="15" w:type="dxa"/>
              <w:left w:w="0" w:type="dxa"/>
              <w:bottom w:w="0" w:type="dxa"/>
              <w:right w:w="15" w:type="dxa"/>
            </w:tcMar>
            <w:vAlign w:val="bottom"/>
          </w:tcPr>
          <w:p w14:paraId="5A365ED0" w14:textId="77777777" w:rsidR="009A5AEC" w:rsidRDefault="00000000">
            <w:pPr>
              <w:pStyle w:val="Normal0"/>
              <w:keepNext/>
              <w:rPr>
                <w:b/>
                <w:color w:val="000000"/>
                <w:sz w:val="20"/>
              </w:rPr>
            </w:pPr>
            <w:r>
              <w:rPr>
                <w:b/>
                <w:color w:val="000000"/>
                <w:sz w:val="20"/>
              </w:rPr>
              <w:t xml:space="preserve"> </w:t>
            </w:r>
          </w:p>
        </w:tc>
        <w:tc>
          <w:tcPr>
            <w:tcW w:w="83" w:type="pct"/>
            <w:shd w:val="clear" w:color="auto" w:fill="FFFFFF"/>
            <w:tcMar>
              <w:top w:w="15" w:type="dxa"/>
              <w:left w:w="0" w:type="dxa"/>
              <w:bottom w:w="0" w:type="dxa"/>
              <w:right w:w="15" w:type="dxa"/>
            </w:tcMar>
            <w:vAlign w:val="bottom"/>
          </w:tcPr>
          <w:p w14:paraId="72E04793" w14:textId="77777777" w:rsidR="009A5AEC" w:rsidRDefault="00000000">
            <w:pPr>
              <w:pStyle w:val="Normal0"/>
              <w:rPr>
                <w:color w:val="000000"/>
                <w:sz w:val="20"/>
              </w:rPr>
            </w:pPr>
            <w:r>
              <w:rPr>
                <w:color w:val="000000"/>
                <w:sz w:val="20"/>
              </w:rPr>
              <w:t xml:space="preserve"> </w:t>
            </w:r>
          </w:p>
        </w:tc>
        <w:tc>
          <w:tcPr>
            <w:tcW w:w="845" w:type="pct"/>
            <w:gridSpan w:val="2"/>
            <w:tcBorders>
              <w:top w:val="single" w:sz="2" w:space="0" w:color="000000"/>
              <w:bottom w:val="single" w:sz="2" w:space="0" w:color="000000"/>
            </w:tcBorders>
            <w:shd w:val="clear" w:color="auto" w:fill="FFFFFF"/>
            <w:tcMar>
              <w:top w:w="15" w:type="dxa"/>
              <w:left w:w="0" w:type="dxa"/>
              <w:bottom w:w="0" w:type="dxa"/>
              <w:right w:w="15" w:type="dxa"/>
            </w:tcMar>
            <w:vAlign w:val="bottom"/>
          </w:tcPr>
          <w:p w14:paraId="2126C678" w14:textId="77777777" w:rsidR="009A5AEC" w:rsidRDefault="00000000">
            <w:pPr>
              <w:pStyle w:val="Normal0"/>
              <w:jc w:val="center"/>
              <w:rPr>
                <w:b/>
                <w:color w:val="000000"/>
                <w:sz w:val="20"/>
              </w:rPr>
            </w:pPr>
            <w:r>
              <w:rPr>
                <w:b/>
                <w:color w:val="000000"/>
                <w:sz w:val="20"/>
              </w:rPr>
              <w:t>2022</w:t>
            </w:r>
          </w:p>
        </w:tc>
        <w:tc>
          <w:tcPr>
            <w:tcW w:w="47" w:type="pct"/>
            <w:shd w:val="clear" w:color="auto" w:fill="FFFFFF"/>
            <w:noWrap/>
            <w:tcMar>
              <w:top w:w="15" w:type="dxa"/>
              <w:left w:w="0" w:type="dxa"/>
              <w:bottom w:w="0" w:type="dxa"/>
              <w:right w:w="15" w:type="dxa"/>
            </w:tcMar>
            <w:vAlign w:val="bottom"/>
          </w:tcPr>
          <w:p w14:paraId="6798AB01" w14:textId="77777777" w:rsidR="009A5AEC" w:rsidRDefault="00000000">
            <w:pPr>
              <w:pStyle w:val="Normal0"/>
              <w:rPr>
                <w:b/>
                <w:color w:val="000000"/>
                <w:sz w:val="20"/>
              </w:rPr>
            </w:pPr>
            <w:r>
              <w:rPr>
                <w:b/>
                <w:color w:val="000000"/>
                <w:sz w:val="20"/>
              </w:rPr>
              <w:t xml:space="preserve"> </w:t>
            </w:r>
          </w:p>
        </w:tc>
        <w:tc>
          <w:tcPr>
            <w:tcW w:w="84" w:type="pct"/>
            <w:tcBorders>
              <w:top w:val="single" w:sz="2" w:space="0" w:color="000000"/>
            </w:tcBorders>
            <w:shd w:val="clear" w:color="auto" w:fill="FFFFFF"/>
            <w:tcMar>
              <w:top w:w="15" w:type="dxa"/>
              <w:left w:w="0" w:type="dxa"/>
              <w:bottom w:w="0" w:type="dxa"/>
              <w:right w:w="15" w:type="dxa"/>
            </w:tcMar>
            <w:vAlign w:val="bottom"/>
          </w:tcPr>
          <w:p w14:paraId="66E53527" w14:textId="77777777" w:rsidR="009A5AEC" w:rsidRDefault="00000000">
            <w:pPr>
              <w:pStyle w:val="Normal0"/>
              <w:rPr>
                <w:color w:val="000000"/>
                <w:sz w:val="20"/>
              </w:rPr>
            </w:pPr>
            <w:r>
              <w:rPr>
                <w:color w:val="000000"/>
                <w:sz w:val="20"/>
              </w:rPr>
              <w:t xml:space="preserve"> </w:t>
            </w:r>
          </w:p>
        </w:tc>
        <w:tc>
          <w:tcPr>
            <w:tcW w:w="846" w:type="pct"/>
            <w:gridSpan w:val="2"/>
            <w:tcBorders>
              <w:top w:val="single" w:sz="2" w:space="0" w:color="000000"/>
              <w:bottom w:val="single" w:sz="2" w:space="0" w:color="000000"/>
            </w:tcBorders>
            <w:shd w:val="clear" w:color="auto" w:fill="FFFFFF"/>
            <w:tcMar>
              <w:top w:w="15" w:type="dxa"/>
              <w:left w:w="0" w:type="dxa"/>
              <w:bottom w:w="0" w:type="dxa"/>
              <w:right w:w="15" w:type="dxa"/>
            </w:tcMar>
            <w:vAlign w:val="bottom"/>
          </w:tcPr>
          <w:p w14:paraId="023519AD" w14:textId="77777777" w:rsidR="009A5AEC" w:rsidRDefault="00000000">
            <w:pPr>
              <w:pStyle w:val="Normal0"/>
              <w:jc w:val="center"/>
              <w:rPr>
                <w:b/>
                <w:color w:val="000000"/>
                <w:sz w:val="20"/>
              </w:rPr>
            </w:pPr>
            <w:r>
              <w:rPr>
                <w:b/>
                <w:color w:val="000000"/>
                <w:sz w:val="20"/>
              </w:rPr>
              <w:t>2021</w:t>
            </w:r>
          </w:p>
        </w:tc>
        <w:tc>
          <w:tcPr>
            <w:tcW w:w="47" w:type="pct"/>
            <w:shd w:val="clear" w:color="auto" w:fill="FFFFFF"/>
            <w:noWrap/>
            <w:tcMar>
              <w:top w:w="15" w:type="dxa"/>
              <w:left w:w="0" w:type="dxa"/>
              <w:bottom w:w="0" w:type="dxa"/>
              <w:right w:w="15" w:type="dxa"/>
            </w:tcMar>
            <w:vAlign w:val="bottom"/>
          </w:tcPr>
          <w:p w14:paraId="4A26A2AA" w14:textId="77777777" w:rsidR="009A5AEC" w:rsidRDefault="00000000">
            <w:pPr>
              <w:pStyle w:val="Normal0"/>
              <w:rPr>
                <w:b/>
                <w:color w:val="000000"/>
                <w:sz w:val="20"/>
              </w:rPr>
            </w:pPr>
            <w:r>
              <w:rPr>
                <w:b/>
                <w:color w:val="000000"/>
                <w:sz w:val="20"/>
              </w:rPr>
              <w:t xml:space="preserve"> </w:t>
            </w:r>
          </w:p>
        </w:tc>
      </w:tr>
      <w:tr w:rsidR="003116D1" w14:paraId="04957FB5" w14:textId="77777777" w:rsidTr="003D325E">
        <w:trPr>
          <w:cantSplit/>
          <w:jc w:val="center"/>
        </w:trPr>
        <w:tc>
          <w:tcPr>
            <w:tcW w:w="3047" w:type="pct"/>
            <w:shd w:val="clear" w:color="auto" w:fill="FFFFFF"/>
            <w:tcMar>
              <w:top w:w="15" w:type="dxa"/>
              <w:left w:w="0" w:type="dxa"/>
              <w:bottom w:w="0" w:type="dxa"/>
              <w:right w:w="15" w:type="dxa"/>
            </w:tcMar>
            <w:vAlign w:val="bottom"/>
          </w:tcPr>
          <w:p w14:paraId="47874A45" w14:textId="77777777" w:rsidR="009A5AEC" w:rsidRDefault="00000000">
            <w:pPr>
              <w:pStyle w:val="Normal0"/>
              <w:keepNext/>
              <w:rPr>
                <w:b/>
                <w:color w:val="000000"/>
                <w:sz w:val="20"/>
              </w:rPr>
            </w:pPr>
            <w:r>
              <w:rPr>
                <w:b/>
                <w:color w:val="000000"/>
                <w:sz w:val="20"/>
              </w:rPr>
              <w:t xml:space="preserve"> (000's, except share and per share amounts)</w:t>
            </w:r>
          </w:p>
        </w:tc>
        <w:tc>
          <w:tcPr>
            <w:tcW w:w="83" w:type="pct"/>
            <w:shd w:val="clear" w:color="auto" w:fill="FFFFFF"/>
            <w:tcMar>
              <w:top w:w="15" w:type="dxa"/>
              <w:left w:w="0" w:type="dxa"/>
              <w:bottom w:w="0" w:type="dxa"/>
              <w:right w:w="15" w:type="dxa"/>
            </w:tcMar>
            <w:vAlign w:val="bottom"/>
          </w:tcPr>
          <w:p w14:paraId="2C391408" w14:textId="77777777" w:rsidR="009A5AEC" w:rsidRDefault="00000000">
            <w:pPr>
              <w:pStyle w:val="Normal0"/>
              <w:rPr>
                <w:color w:val="000000"/>
                <w:sz w:val="20"/>
              </w:rPr>
            </w:pPr>
            <w:r>
              <w:rPr>
                <w:color w:val="000000"/>
                <w:sz w:val="20"/>
              </w:rPr>
              <w:t xml:space="preserve"> </w:t>
            </w:r>
          </w:p>
        </w:tc>
        <w:tc>
          <w:tcPr>
            <w:tcW w:w="61" w:type="pct"/>
            <w:tcBorders>
              <w:top w:val="single" w:sz="2" w:space="0" w:color="000000"/>
            </w:tcBorders>
            <w:shd w:val="clear" w:color="auto" w:fill="FFFFFF"/>
            <w:noWrap/>
            <w:tcMar>
              <w:top w:w="15" w:type="dxa"/>
              <w:left w:w="0" w:type="dxa"/>
              <w:bottom w:w="0" w:type="dxa"/>
              <w:right w:w="15" w:type="dxa"/>
            </w:tcMar>
            <w:vAlign w:val="bottom"/>
          </w:tcPr>
          <w:p w14:paraId="24C23E04" w14:textId="77777777" w:rsidR="009A5AEC" w:rsidRDefault="00000000">
            <w:pPr>
              <w:pStyle w:val="Normal0"/>
              <w:rPr>
                <w:color w:val="000000"/>
                <w:sz w:val="20"/>
              </w:rPr>
            </w:pPr>
            <w:r>
              <w:rPr>
                <w:color w:val="000000"/>
                <w:sz w:val="20"/>
              </w:rPr>
              <w:t xml:space="preserve"> </w:t>
            </w:r>
          </w:p>
        </w:tc>
        <w:tc>
          <w:tcPr>
            <w:tcW w:w="784" w:type="pct"/>
            <w:tcBorders>
              <w:top w:val="single" w:sz="2" w:space="0" w:color="000000"/>
            </w:tcBorders>
            <w:shd w:val="clear" w:color="auto" w:fill="FFFFFF"/>
            <w:noWrap/>
            <w:tcMar>
              <w:top w:w="15" w:type="dxa"/>
              <w:left w:w="0" w:type="dxa"/>
              <w:bottom w:w="0" w:type="dxa"/>
              <w:right w:w="15" w:type="dxa"/>
            </w:tcMar>
            <w:vAlign w:val="bottom"/>
          </w:tcPr>
          <w:p w14:paraId="4AD1E164" w14:textId="77777777" w:rsidR="009A5AEC" w:rsidRDefault="00000000">
            <w:pPr>
              <w:pStyle w:val="Normal0"/>
              <w:rPr>
                <w:color w:val="000000"/>
                <w:sz w:val="20"/>
              </w:rPr>
            </w:pPr>
            <w:r>
              <w:rPr>
                <w:color w:val="000000"/>
                <w:sz w:val="20"/>
              </w:rPr>
              <w:t xml:space="preserve"> </w:t>
            </w:r>
          </w:p>
        </w:tc>
        <w:tc>
          <w:tcPr>
            <w:tcW w:w="47" w:type="pct"/>
            <w:shd w:val="clear" w:color="auto" w:fill="FFFFFF"/>
            <w:noWrap/>
            <w:tcMar>
              <w:top w:w="15" w:type="dxa"/>
              <w:left w:w="0" w:type="dxa"/>
              <w:bottom w:w="0" w:type="dxa"/>
              <w:right w:w="15" w:type="dxa"/>
            </w:tcMar>
            <w:vAlign w:val="bottom"/>
          </w:tcPr>
          <w:p w14:paraId="70C08D2C"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25F4B4A4" w14:textId="77777777" w:rsidR="009A5AEC" w:rsidRDefault="00000000">
            <w:pPr>
              <w:pStyle w:val="Normal0"/>
              <w:rPr>
                <w:color w:val="000000"/>
                <w:sz w:val="20"/>
              </w:rPr>
            </w:pPr>
            <w:r>
              <w:rPr>
                <w:color w:val="000000"/>
                <w:sz w:val="20"/>
              </w:rPr>
              <w:t xml:space="preserve"> </w:t>
            </w:r>
          </w:p>
        </w:tc>
        <w:tc>
          <w:tcPr>
            <w:tcW w:w="61" w:type="pct"/>
            <w:tcBorders>
              <w:top w:val="single" w:sz="2" w:space="0" w:color="000000"/>
            </w:tcBorders>
            <w:shd w:val="clear" w:color="auto" w:fill="FFFFFF"/>
            <w:noWrap/>
            <w:tcMar>
              <w:top w:w="15" w:type="dxa"/>
              <w:left w:w="0" w:type="dxa"/>
              <w:bottom w:w="0" w:type="dxa"/>
              <w:right w:w="15" w:type="dxa"/>
            </w:tcMar>
            <w:vAlign w:val="bottom"/>
          </w:tcPr>
          <w:p w14:paraId="37C2C188" w14:textId="77777777" w:rsidR="009A5AEC" w:rsidRDefault="00000000">
            <w:pPr>
              <w:pStyle w:val="Normal0"/>
              <w:rPr>
                <w:color w:val="000000"/>
                <w:sz w:val="20"/>
              </w:rPr>
            </w:pPr>
            <w:r>
              <w:rPr>
                <w:color w:val="000000"/>
                <w:sz w:val="20"/>
              </w:rPr>
              <w:t xml:space="preserve"> </w:t>
            </w:r>
          </w:p>
        </w:tc>
        <w:tc>
          <w:tcPr>
            <w:tcW w:w="785" w:type="pct"/>
            <w:tcBorders>
              <w:top w:val="single" w:sz="2" w:space="0" w:color="000000"/>
            </w:tcBorders>
            <w:shd w:val="clear" w:color="auto" w:fill="FFFFFF"/>
            <w:noWrap/>
            <w:tcMar>
              <w:top w:w="15" w:type="dxa"/>
              <w:left w:w="0" w:type="dxa"/>
              <w:bottom w:w="0" w:type="dxa"/>
              <w:right w:w="15" w:type="dxa"/>
            </w:tcMar>
            <w:vAlign w:val="bottom"/>
          </w:tcPr>
          <w:p w14:paraId="458762F6" w14:textId="77777777" w:rsidR="009A5AEC" w:rsidRDefault="00000000">
            <w:pPr>
              <w:pStyle w:val="Normal0"/>
              <w:rPr>
                <w:color w:val="000000"/>
                <w:sz w:val="20"/>
              </w:rPr>
            </w:pPr>
            <w:r>
              <w:rPr>
                <w:color w:val="000000"/>
                <w:sz w:val="20"/>
              </w:rPr>
              <w:t xml:space="preserve"> </w:t>
            </w:r>
          </w:p>
        </w:tc>
        <w:tc>
          <w:tcPr>
            <w:tcW w:w="47" w:type="pct"/>
            <w:shd w:val="clear" w:color="auto" w:fill="FFFFFF"/>
            <w:noWrap/>
            <w:tcMar>
              <w:top w:w="15" w:type="dxa"/>
              <w:left w:w="0" w:type="dxa"/>
              <w:bottom w:w="0" w:type="dxa"/>
              <w:right w:w="15" w:type="dxa"/>
            </w:tcMar>
            <w:vAlign w:val="bottom"/>
          </w:tcPr>
          <w:p w14:paraId="75EC4810" w14:textId="77777777" w:rsidR="009A5AEC" w:rsidRDefault="00000000">
            <w:pPr>
              <w:pStyle w:val="Normal0"/>
              <w:rPr>
                <w:color w:val="000000"/>
                <w:sz w:val="20"/>
              </w:rPr>
            </w:pPr>
            <w:r>
              <w:rPr>
                <w:color w:val="000000"/>
                <w:sz w:val="20"/>
              </w:rPr>
              <w:t xml:space="preserve"> </w:t>
            </w:r>
          </w:p>
        </w:tc>
      </w:tr>
      <w:tr w:rsidR="003116D1" w14:paraId="38F84827" w14:textId="77777777" w:rsidTr="003D325E">
        <w:trPr>
          <w:cantSplit/>
          <w:jc w:val="center"/>
        </w:trPr>
        <w:tc>
          <w:tcPr>
            <w:tcW w:w="3047" w:type="pct"/>
            <w:shd w:val="clear" w:color="auto" w:fill="FFFFFF"/>
            <w:tcMar>
              <w:top w:w="15" w:type="dxa"/>
              <w:left w:w="0" w:type="dxa"/>
              <w:bottom w:w="0" w:type="dxa"/>
              <w:right w:w="15" w:type="dxa"/>
            </w:tcMar>
            <w:vAlign w:val="bottom"/>
          </w:tcPr>
          <w:p w14:paraId="7650F9D3" w14:textId="77777777" w:rsidR="009A5AEC" w:rsidRDefault="00000000">
            <w:pPr>
              <w:pStyle w:val="Normal0"/>
              <w:keepNext/>
              <w:rPr>
                <w:color w:val="000000"/>
                <w:sz w:val="20"/>
              </w:rPr>
            </w:pPr>
            <w:r>
              <w:rPr>
                <w:color w:val="000000"/>
                <w:sz w:val="20"/>
              </w:rPr>
              <w:t xml:space="preserve"> (Loss) income before income taxes</w:t>
            </w:r>
          </w:p>
        </w:tc>
        <w:tc>
          <w:tcPr>
            <w:tcW w:w="83" w:type="pct"/>
            <w:shd w:val="clear" w:color="auto" w:fill="FFFFFF"/>
            <w:tcMar>
              <w:top w:w="15" w:type="dxa"/>
              <w:left w:w="0" w:type="dxa"/>
              <w:bottom w:w="0" w:type="dxa"/>
              <w:right w:w="15" w:type="dxa"/>
            </w:tcMar>
            <w:vAlign w:val="bottom"/>
          </w:tcPr>
          <w:p w14:paraId="1B8D00E6" w14:textId="77777777" w:rsidR="009A5AEC" w:rsidRDefault="00000000">
            <w:pPr>
              <w:pStyle w:val="Normal0"/>
              <w:rPr>
                <w:color w:val="000000"/>
                <w:sz w:val="20"/>
              </w:rPr>
            </w:pPr>
            <w:r>
              <w:rPr>
                <w:color w:val="000000"/>
                <w:sz w:val="20"/>
              </w:rPr>
              <w:t xml:space="preserve"> </w:t>
            </w:r>
          </w:p>
        </w:tc>
        <w:tc>
          <w:tcPr>
            <w:tcW w:w="61" w:type="pct"/>
            <w:shd w:val="clear" w:color="auto" w:fill="FFFFFF"/>
            <w:noWrap/>
            <w:tcMar>
              <w:top w:w="15" w:type="dxa"/>
              <w:left w:w="0" w:type="dxa"/>
              <w:bottom w:w="0" w:type="dxa"/>
              <w:right w:w="15" w:type="dxa"/>
            </w:tcMar>
            <w:vAlign w:val="bottom"/>
          </w:tcPr>
          <w:p w14:paraId="0B684B1A" w14:textId="77777777" w:rsidR="009A5AEC" w:rsidRDefault="00000000">
            <w:pPr>
              <w:pStyle w:val="Normal0"/>
              <w:rPr>
                <w:color w:val="000000"/>
                <w:sz w:val="20"/>
              </w:rPr>
            </w:pPr>
            <w:r>
              <w:rPr>
                <w:color w:val="000000"/>
                <w:sz w:val="20"/>
              </w:rPr>
              <w:t>$</w:t>
            </w:r>
          </w:p>
        </w:tc>
        <w:tc>
          <w:tcPr>
            <w:tcW w:w="784" w:type="pct"/>
            <w:shd w:val="clear" w:color="auto" w:fill="FFFFFF"/>
            <w:noWrap/>
            <w:tcMar>
              <w:top w:w="15" w:type="dxa"/>
              <w:left w:w="0" w:type="dxa"/>
              <w:bottom w:w="0" w:type="dxa"/>
              <w:right w:w="15" w:type="dxa"/>
            </w:tcMar>
            <w:vAlign w:val="bottom"/>
          </w:tcPr>
          <w:p w14:paraId="3B15EC3A" w14:textId="77777777" w:rsidR="009A5AEC" w:rsidRDefault="00000000">
            <w:pPr>
              <w:pStyle w:val="Normal0"/>
              <w:jc w:val="right"/>
              <w:rPr>
                <w:color w:val="000000"/>
                <w:sz w:val="20"/>
              </w:rPr>
            </w:pPr>
            <w:r>
              <w:rPr>
                <w:color w:val="000000"/>
                <w:sz w:val="20"/>
              </w:rPr>
              <w:t>(3,969</w:t>
            </w:r>
          </w:p>
        </w:tc>
        <w:tc>
          <w:tcPr>
            <w:tcW w:w="47" w:type="pct"/>
            <w:shd w:val="clear" w:color="auto" w:fill="FFFFFF"/>
            <w:noWrap/>
            <w:tcMar>
              <w:top w:w="15" w:type="dxa"/>
              <w:left w:w="0" w:type="dxa"/>
              <w:bottom w:w="0" w:type="dxa"/>
              <w:right w:w="15" w:type="dxa"/>
            </w:tcMar>
            <w:vAlign w:val="bottom"/>
          </w:tcPr>
          <w:p w14:paraId="5314475C" w14:textId="77777777" w:rsidR="009A5AEC" w:rsidRDefault="00000000">
            <w:pPr>
              <w:pStyle w:val="Normal0"/>
              <w:rPr>
                <w:color w:val="000000"/>
                <w:sz w:val="20"/>
              </w:rPr>
            </w:pPr>
            <w:r>
              <w:rPr>
                <w:color w:val="000000"/>
                <w:sz w:val="20"/>
              </w:rPr>
              <w:t>)</w:t>
            </w:r>
          </w:p>
        </w:tc>
        <w:tc>
          <w:tcPr>
            <w:tcW w:w="84" w:type="pct"/>
            <w:shd w:val="clear" w:color="auto" w:fill="FFFFFF"/>
            <w:tcMar>
              <w:top w:w="15" w:type="dxa"/>
              <w:left w:w="0" w:type="dxa"/>
              <w:bottom w:w="0" w:type="dxa"/>
              <w:right w:w="15" w:type="dxa"/>
            </w:tcMar>
            <w:vAlign w:val="bottom"/>
          </w:tcPr>
          <w:p w14:paraId="4C02698A" w14:textId="77777777" w:rsidR="009A5AEC" w:rsidRDefault="00000000">
            <w:pPr>
              <w:pStyle w:val="Normal0"/>
              <w:rPr>
                <w:color w:val="000000"/>
                <w:sz w:val="20"/>
              </w:rPr>
            </w:pPr>
            <w:r>
              <w:rPr>
                <w:color w:val="000000"/>
                <w:sz w:val="20"/>
              </w:rPr>
              <w:t xml:space="preserve"> </w:t>
            </w:r>
          </w:p>
        </w:tc>
        <w:tc>
          <w:tcPr>
            <w:tcW w:w="61" w:type="pct"/>
            <w:shd w:val="clear" w:color="auto" w:fill="FFFFFF"/>
            <w:noWrap/>
            <w:tcMar>
              <w:top w:w="15" w:type="dxa"/>
              <w:left w:w="0" w:type="dxa"/>
              <w:bottom w:w="0" w:type="dxa"/>
              <w:right w:w="15" w:type="dxa"/>
            </w:tcMar>
            <w:vAlign w:val="bottom"/>
          </w:tcPr>
          <w:p w14:paraId="1397BA2A" w14:textId="77777777" w:rsidR="009A5AEC" w:rsidRDefault="00000000">
            <w:pPr>
              <w:pStyle w:val="Normal0"/>
              <w:rPr>
                <w:color w:val="000000"/>
                <w:sz w:val="20"/>
              </w:rPr>
            </w:pPr>
            <w:r>
              <w:rPr>
                <w:color w:val="000000"/>
                <w:sz w:val="20"/>
              </w:rPr>
              <w:t>$</w:t>
            </w:r>
          </w:p>
        </w:tc>
        <w:tc>
          <w:tcPr>
            <w:tcW w:w="785" w:type="pct"/>
            <w:shd w:val="clear" w:color="auto" w:fill="FFFFFF"/>
            <w:noWrap/>
            <w:tcMar>
              <w:top w:w="15" w:type="dxa"/>
              <w:left w:w="0" w:type="dxa"/>
              <w:bottom w:w="0" w:type="dxa"/>
              <w:right w:w="15" w:type="dxa"/>
            </w:tcMar>
            <w:vAlign w:val="bottom"/>
          </w:tcPr>
          <w:p w14:paraId="3ECD875E" w14:textId="77777777" w:rsidR="009A5AEC" w:rsidRDefault="00000000">
            <w:pPr>
              <w:pStyle w:val="Normal0"/>
              <w:jc w:val="right"/>
              <w:rPr>
                <w:color w:val="000000"/>
                <w:sz w:val="20"/>
              </w:rPr>
            </w:pPr>
            <w:r>
              <w:rPr>
                <w:color w:val="000000"/>
                <w:sz w:val="20"/>
              </w:rPr>
              <w:t>40,869</w:t>
            </w:r>
          </w:p>
        </w:tc>
        <w:tc>
          <w:tcPr>
            <w:tcW w:w="47" w:type="pct"/>
            <w:shd w:val="clear" w:color="auto" w:fill="FFFFFF"/>
            <w:noWrap/>
            <w:tcMar>
              <w:top w:w="15" w:type="dxa"/>
              <w:left w:w="0" w:type="dxa"/>
              <w:bottom w:w="0" w:type="dxa"/>
              <w:right w:w="15" w:type="dxa"/>
            </w:tcMar>
            <w:vAlign w:val="bottom"/>
          </w:tcPr>
          <w:p w14:paraId="6DCEFE22" w14:textId="77777777" w:rsidR="009A5AEC" w:rsidRDefault="00000000">
            <w:pPr>
              <w:pStyle w:val="Normal0"/>
              <w:rPr>
                <w:color w:val="000000"/>
                <w:sz w:val="20"/>
              </w:rPr>
            </w:pPr>
            <w:r>
              <w:rPr>
                <w:color w:val="000000"/>
                <w:sz w:val="20"/>
              </w:rPr>
              <w:t xml:space="preserve"> </w:t>
            </w:r>
          </w:p>
        </w:tc>
      </w:tr>
      <w:tr w:rsidR="003116D1" w14:paraId="313B7C54" w14:textId="77777777" w:rsidTr="003D325E">
        <w:trPr>
          <w:cantSplit/>
          <w:jc w:val="center"/>
        </w:trPr>
        <w:tc>
          <w:tcPr>
            <w:tcW w:w="3047" w:type="pct"/>
            <w:shd w:val="clear" w:color="auto" w:fill="FFFFFF"/>
            <w:tcMar>
              <w:top w:w="15" w:type="dxa"/>
              <w:left w:w="0" w:type="dxa"/>
              <w:bottom w:w="0" w:type="dxa"/>
              <w:right w:w="15" w:type="dxa"/>
            </w:tcMar>
            <w:vAlign w:val="bottom"/>
          </w:tcPr>
          <w:p w14:paraId="27F4C5EE" w14:textId="77777777" w:rsidR="009A5AEC" w:rsidRDefault="00000000">
            <w:pPr>
              <w:pStyle w:val="Normal0"/>
              <w:keepNext/>
              <w:ind w:left="274"/>
              <w:rPr>
                <w:color w:val="000000"/>
                <w:sz w:val="20"/>
              </w:rPr>
            </w:pPr>
            <w:r>
              <w:rPr>
                <w:color w:val="000000"/>
                <w:sz w:val="20"/>
              </w:rPr>
              <w:t xml:space="preserve"> Interest income </w:t>
            </w:r>
            <w:r w:rsidR="00826EA5">
              <w:rPr>
                <w:color w:val="000000"/>
                <w:sz w:val="20"/>
              </w:rPr>
              <w:t>(</w:t>
            </w:r>
            <w:r>
              <w:rPr>
                <w:color w:val="000000"/>
                <w:sz w:val="20"/>
              </w:rPr>
              <w:t>expense</w:t>
            </w:r>
            <w:r w:rsidR="00826EA5">
              <w:rPr>
                <w:color w:val="000000"/>
                <w:sz w:val="20"/>
              </w:rPr>
              <w:t>)</w:t>
            </w:r>
            <w:r>
              <w:rPr>
                <w:color w:val="000000"/>
                <w:sz w:val="20"/>
              </w:rPr>
              <w:t>, net</w:t>
            </w:r>
          </w:p>
        </w:tc>
        <w:tc>
          <w:tcPr>
            <w:tcW w:w="83" w:type="pct"/>
            <w:shd w:val="clear" w:color="auto" w:fill="FFFFFF"/>
            <w:tcMar>
              <w:top w:w="15" w:type="dxa"/>
              <w:left w:w="0" w:type="dxa"/>
              <w:bottom w:w="0" w:type="dxa"/>
              <w:right w:w="15" w:type="dxa"/>
            </w:tcMar>
            <w:vAlign w:val="bottom"/>
          </w:tcPr>
          <w:p w14:paraId="7459F30E" w14:textId="77777777" w:rsidR="009A5AEC" w:rsidRDefault="00000000">
            <w:pPr>
              <w:pStyle w:val="Normal0"/>
              <w:rPr>
                <w:color w:val="000000"/>
                <w:sz w:val="20"/>
              </w:rPr>
            </w:pPr>
            <w:r>
              <w:rPr>
                <w:color w:val="000000"/>
                <w:sz w:val="20"/>
              </w:rPr>
              <w:t xml:space="preserve"> </w:t>
            </w:r>
          </w:p>
        </w:tc>
        <w:tc>
          <w:tcPr>
            <w:tcW w:w="61" w:type="pct"/>
            <w:shd w:val="clear" w:color="auto" w:fill="FFFFFF"/>
            <w:noWrap/>
            <w:tcMar>
              <w:top w:w="15" w:type="dxa"/>
              <w:left w:w="0" w:type="dxa"/>
              <w:bottom w:w="0" w:type="dxa"/>
              <w:right w:w="15" w:type="dxa"/>
            </w:tcMar>
            <w:vAlign w:val="bottom"/>
          </w:tcPr>
          <w:p w14:paraId="39CE57BF" w14:textId="77777777" w:rsidR="009A5AEC" w:rsidRDefault="00000000">
            <w:pPr>
              <w:pStyle w:val="Normal0"/>
              <w:rPr>
                <w:color w:val="000000"/>
                <w:sz w:val="20"/>
              </w:rPr>
            </w:pPr>
            <w:r>
              <w:rPr>
                <w:color w:val="000000"/>
                <w:sz w:val="20"/>
              </w:rPr>
              <w:t xml:space="preserve"> </w:t>
            </w:r>
          </w:p>
        </w:tc>
        <w:tc>
          <w:tcPr>
            <w:tcW w:w="784" w:type="pct"/>
            <w:shd w:val="clear" w:color="auto" w:fill="FFFFFF"/>
            <w:noWrap/>
            <w:tcMar>
              <w:top w:w="15" w:type="dxa"/>
              <w:left w:w="0" w:type="dxa"/>
              <w:bottom w:w="0" w:type="dxa"/>
              <w:right w:w="15" w:type="dxa"/>
            </w:tcMar>
            <w:vAlign w:val="bottom"/>
          </w:tcPr>
          <w:p w14:paraId="3C091760" w14:textId="77777777" w:rsidR="009A5AEC" w:rsidRDefault="00000000">
            <w:pPr>
              <w:pStyle w:val="Normal0"/>
              <w:jc w:val="right"/>
              <w:rPr>
                <w:color w:val="000000"/>
                <w:sz w:val="20"/>
              </w:rPr>
            </w:pPr>
            <w:r>
              <w:rPr>
                <w:color w:val="000000"/>
                <w:sz w:val="20"/>
              </w:rPr>
              <w:t>(51</w:t>
            </w:r>
          </w:p>
        </w:tc>
        <w:tc>
          <w:tcPr>
            <w:tcW w:w="47" w:type="pct"/>
            <w:shd w:val="clear" w:color="auto" w:fill="FFFFFF"/>
            <w:noWrap/>
            <w:tcMar>
              <w:top w:w="15" w:type="dxa"/>
              <w:left w:w="0" w:type="dxa"/>
              <w:bottom w:w="0" w:type="dxa"/>
              <w:right w:w="15" w:type="dxa"/>
            </w:tcMar>
            <w:vAlign w:val="bottom"/>
          </w:tcPr>
          <w:p w14:paraId="43D28150" w14:textId="77777777" w:rsidR="009A5AEC" w:rsidRDefault="00000000">
            <w:pPr>
              <w:pStyle w:val="Normal0"/>
              <w:rPr>
                <w:color w:val="000000"/>
                <w:sz w:val="20"/>
              </w:rPr>
            </w:pPr>
            <w:r>
              <w:rPr>
                <w:color w:val="000000"/>
                <w:sz w:val="20"/>
              </w:rPr>
              <w:t>)</w:t>
            </w:r>
          </w:p>
        </w:tc>
        <w:tc>
          <w:tcPr>
            <w:tcW w:w="84" w:type="pct"/>
            <w:shd w:val="clear" w:color="auto" w:fill="FFFFFF"/>
            <w:tcMar>
              <w:top w:w="15" w:type="dxa"/>
              <w:left w:w="0" w:type="dxa"/>
              <w:bottom w:w="0" w:type="dxa"/>
              <w:right w:w="15" w:type="dxa"/>
            </w:tcMar>
            <w:vAlign w:val="bottom"/>
          </w:tcPr>
          <w:p w14:paraId="7DB79FD1" w14:textId="77777777" w:rsidR="009A5AEC" w:rsidRDefault="00000000">
            <w:pPr>
              <w:pStyle w:val="Normal0"/>
              <w:rPr>
                <w:color w:val="000000"/>
                <w:sz w:val="20"/>
              </w:rPr>
            </w:pPr>
            <w:r>
              <w:rPr>
                <w:color w:val="000000"/>
                <w:sz w:val="20"/>
              </w:rPr>
              <w:t xml:space="preserve"> </w:t>
            </w:r>
          </w:p>
        </w:tc>
        <w:tc>
          <w:tcPr>
            <w:tcW w:w="61" w:type="pct"/>
            <w:shd w:val="clear" w:color="auto" w:fill="FFFFFF"/>
            <w:noWrap/>
            <w:tcMar>
              <w:top w:w="15" w:type="dxa"/>
              <w:left w:w="0" w:type="dxa"/>
              <w:bottom w:w="0" w:type="dxa"/>
              <w:right w:w="15" w:type="dxa"/>
            </w:tcMar>
            <w:vAlign w:val="bottom"/>
          </w:tcPr>
          <w:p w14:paraId="087B1941" w14:textId="77777777" w:rsidR="009A5AEC" w:rsidRDefault="00000000">
            <w:pPr>
              <w:pStyle w:val="Normal0"/>
              <w:rPr>
                <w:color w:val="000000"/>
                <w:sz w:val="20"/>
              </w:rPr>
            </w:pPr>
            <w:r>
              <w:rPr>
                <w:color w:val="000000"/>
                <w:sz w:val="20"/>
              </w:rPr>
              <w:t xml:space="preserve"> </w:t>
            </w:r>
          </w:p>
        </w:tc>
        <w:tc>
          <w:tcPr>
            <w:tcW w:w="785" w:type="pct"/>
            <w:shd w:val="clear" w:color="auto" w:fill="FFFFFF"/>
            <w:noWrap/>
            <w:tcMar>
              <w:top w:w="15" w:type="dxa"/>
              <w:left w:w="0" w:type="dxa"/>
              <w:bottom w:w="0" w:type="dxa"/>
              <w:right w:w="15" w:type="dxa"/>
            </w:tcMar>
            <w:vAlign w:val="bottom"/>
          </w:tcPr>
          <w:p w14:paraId="75847DB2" w14:textId="77777777" w:rsidR="009A5AEC" w:rsidRDefault="00000000">
            <w:pPr>
              <w:pStyle w:val="Normal0"/>
              <w:jc w:val="right"/>
              <w:rPr>
                <w:color w:val="000000"/>
                <w:sz w:val="20"/>
              </w:rPr>
            </w:pPr>
            <w:r>
              <w:rPr>
                <w:color w:val="000000"/>
                <w:sz w:val="20"/>
              </w:rPr>
              <w:t>9</w:t>
            </w:r>
          </w:p>
        </w:tc>
        <w:tc>
          <w:tcPr>
            <w:tcW w:w="47" w:type="pct"/>
            <w:shd w:val="clear" w:color="auto" w:fill="FFFFFF"/>
            <w:noWrap/>
            <w:tcMar>
              <w:top w:w="15" w:type="dxa"/>
              <w:left w:w="0" w:type="dxa"/>
              <w:bottom w:w="0" w:type="dxa"/>
              <w:right w:w="15" w:type="dxa"/>
            </w:tcMar>
            <w:vAlign w:val="bottom"/>
          </w:tcPr>
          <w:p w14:paraId="76D70082" w14:textId="77777777" w:rsidR="009A5AEC" w:rsidRDefault="00000000">
            <w:pPr>
              <w:pStyle w:val="Normal0"/>
              <w:rPr>
                <w:color w:val="000000"/>
                <w:sz w:val="20"/>
              </w:rPr>
            </w:pPr>
            <w:r>
              <w:rPr>
                <w:color w:val="000000"/>
                <w:sz w:val="20"/>
              </w:rPr>
              <w:t xml:space="preserve"> </w:t>
            </w:r>
          </w:p>
        </w:tc>
      </w:tr>
      <w:tr w:rsidR="003116D1" w14:paraId="69C64D80" w14:textId="77777777" w:rsidTr="003D325E">
        <w:trPr>
          <w:cantSplit/>
          <w:jc w:val="center"/>
        </w:trPr>
        <w:tc>
          <w:tcPr>
            <w:tcW w:w="3047" w:type="pct"/>
            <w:shd w:val="clear" w:color="auto" w:fill="FFFFFF"/>
            <w:tcMar>
              <w:top w:w="15" w:type="dxa"/>
              <w:left w:w="0" w:type="dxa"/>
              <w:bottom w:w="0" w:type="dxa"/>
              <w:right w:w="15" w:type="dxa"/>
            </w:tcMar>
            <w:vAlign w:val="bottom"/>
          </w:tcPr>
          <w:p w14:paraId="521D7B28" w14:textId="77777777" w:rsidR="009A5AEC" w:rsidRDefault="00000000">
            <w:pPr>
              <w:pStyle w:val="Normal0"/>
              <w:keepNext/>
              <w:ind w:left="274"/>
              <w:rPr>
                <w:color w:val="000000"/>
                <w:sz w:val="20"/>
              </w:rPr>
            </w:pPr>
            <w:r>
              <w:rPr>
                <w:color w:val="000000"/>
                <w:sz w:val="20"/>
              </w:rPr>
              <w:t xml:space="preserve"> Depreciation and amortization</w:t>
            </w:r>
          </w:p>
        </w:tc>
        <w:tc>
          <w:tcPr>
            <w:tcW w:w="83" w:type="pct"/>
            <w:shd w:val="clear" w:color="auto" w:fill="FFFFFF"/>
            <w:tcMar>
              <w:top w:w="15" w:type="dxa"/>
              <w:left w:w="0" w:type="dxa"/>
              <w:bottom w:w="0" w:type="dxa"/>
              <w:right w:w="15" w:type="dxa"/>
            </w:tcMar>
            <w:vAlign w:val="bottom"/>
          </w:tcPr>
          <w:p w14:paraId="500A82CD" w14:textId="77777777" w:rsidR="009A5AEC" w:rsidRDefault="00000000">
            <w:pPr>
              <w:pStyle w:val="Normal0"/>
              <w:rPr>
                <w:color w:val="000000"/>
                <w:sz w:val="20"/>
              </w:rPr>
            </w:pPr>
            <w:r>
              <w:rPr>
                <w:color w:val="000000"/>
                <w:sz w:val="20"/>
              </w:rPr>
              <w:t xml:space="preserve"> </w:t>
            </w:r>
          </w:p>
        </w:tc>
        <w:tc>
          <w:tcPr>
            <w:tcW w:w="61" w:type="pct"/>
            <w:shd w:val="clear" w:color="auto" w:fill="FFFFFF"/>
            <w:noWrap/>
            <w:tcMar>
              <w:top w:w="15" w:type="dxa"/>
              <w:left w:w="0" w:type="dxa"/>
              <w:bottom w:w="0" w:type="dxa"/>
              <w:right w:w="15" w:type="dxa"/>
            </w:tcMar>
            <w:vAlign w:val="bottom"/>
          </w:tcPr>
          <w:p w14:paraId="3E48C113" w14:textId="77777777" w:rsidR="009A5AEC" w:rsidRDefault="00000000">
            <w:pPr>
              <w:pStyle w:val="Normal0"/>
              <w:rPr>
                <w:color w:val="000000"/>
                <w:sz w:val="20"/>
              </w:rPr>
            </w:pPr>
            <w:r>
              <w:rPr>
                <w:color w:val="000000"/>
                <w:sz w:val="20"/>
              </w:rPr>
              <w:t xml:space="preserve"> </w:t>
            </w:r>
          </w:p>
        </w:tc>
        <w:tc>
          <w:tcPr>
            <w:tcW w:w="784" w:type="pct"/>
            <w:shd w:val="clear" w:color="auto" w:fill="FFFFFF"/>
            <w:noWrap/>
            <w:tcMar>
              <w:top w:w="15" w:type="dxa"/>
              <w:left w:w="0" w:type="dxa"/>
              <w:bottom w:w="0" w:type="dxa"/>
              <w:right w:w="15" w:type="dxa"/>
            </w:tcMar>
            <w:vAlign w:val="bottom"/>
          </w:tcPr>
          <w:p w14:paraId="0823BE23" w14:textId="77777777" w:rsidR="009A5AEC" w:rsidRDefault="00000000">
            <w:pPr>
              <w:pStyle w:val="Normal0"/>
              <w:jc w:val="right"/>
              <w:rPr>
                <w:color w:val="000000"/>
                <w:sz w:val="20"/>
              </w:rPr>
            </w:pPr>
            <w:r>
              <w:rPr>
                <w:color w:val="000000"/>
                <w:sz w:val="20"/>
              </w:rPr>
              <w:t>542</w:t>
            </w:r>
          </w:p>
        </w:tc>
        <w:tc>
          <w:tcPr>
            <w:tcW w:w="47" w:type="pct"/>
            <w:shd w:val="clear" w:color="auto" w:fill="FFFFFF"/>
            <w:noWrap/>
            <w:tcMar>
              <w:top w:w="15" w:type="dxa"/>
              <w:left w:w="0" w:type="dxa"/>
              <w:bottom w:w="0" w:type="dxa"/>
              <w:right w:w="15" w:type="dxa"/>
            </w:tcMar>
            <w:vAlign w:val="bottom"/>
          </w:tcPr>
          <w:p w14:paraId="5E41FC16"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2470BAC0" w14:textId="77777777" w:rsidR="009A5AEC" w:rsidRDefault="00000000">
            <w:pPr>
              <w:pStyle w:val="Normal0"/>
              <w:rPr>
                <w:color w:val="000000"/>
                <w:sz w:val="20"/>
              </w:rPr>
            </w:pPr>
            <w:r>
              <w:rPr>
                <w:color w:val="000000"/>
                <w:sz w:val="20"/>
              </w:rPr>
              <w:t xml:space="preserve"> </w:t>
            </w:r>
          </w:p>
        </w:tc>
        <w:tc>
          <w:tcPr>
            <w:tcW w:w="61" w:type="pct"/>
            <w:shd w:val="clear" w:color="auto" w:fill="FFFFFF"/>
            <w:noWrap/>
            <w:tcMar>
              <w:top w:w="15" w:type="dxa"/>
              <w:left w:w="0" w:type="dxa"/>
              <w:bottom w:w="0" w:type="dxa"/>
              <w:right w:w="15" w:type="dxa"/>
            </w:tcMar>
            <w:vAlign w:val="bottom"/>
          </w:tcPr>
          <w:p w14:paraId="13B91AAA" w14:textId="77777777" w:rsidR="009A5AEC" w:rsidRDefault="00000000">
            <w:pPr>
              <w:pStyle w:val="Normal0"/>
              <w:rPr>
                <w:color w:val="000000"/>
                <w:sz w:val="20"/>
              </w:rPr>
            </w:pPr>
            <w:r>
              <w:rPr>
                <w:color w:val="000000"/>
                <w:sz w:val="20"/>
              </w:rPr>
              <w:t xml:space="preserve"> </w:t>
            </w:r>
          </w:p>
        </w:tc>
        <w:tc>
          <w:tcPr>
            <w:tcW w:w="785" w:type="pct"/>
            <w:shd w:val="clear" w:color="auto" w:fill="FFFFFF"/>
            <w:noWrap/>
            <w:tcMar>
              <w:top w:w="15" w:type="dxa"/>
              <w:left w:w="0" w:type="dxa"/>
              <w:bottom w:w="0" w:type="dxa"/>
              <w:right w:w="15" w:type="dxa"/>
            </w:tcMar>
            <w:vAlign w:val="bottom"/>
          </w:tcPr>
          <w:p w14:paraId="3F40A71A" w14:textId="77777777" w:rsidR="009A5AEC" w:rsidRDefault="00000000">
            <w:pPr>
              <w:pStyle w:val="Normal0"/>
              <w:jc w:val="right"/>
              <w:rPr>
                <w:color w:val="000000"/>
                <w:sz w:val="20"/>
              </w:rPr>
            </w:pPr>
            <w:r>
              <w:rPr>
                <w:color w:val="000000"/>
                <w:sz w:val="20"/>
              </w:rPr>
              <w:t>417</w:t>
            </w:r>
          </w:p>
        </w:tc>
        <w:tc>
          <w:tcPr>
            <w:tcW w:w="47" w:type="pct"/>
            <w:shd w:val="clear" w:color="auto" w:fill="FFFFFF"/>
            <w:noWrap/>
            <w:tcMar>
              <w:top w:w="15" w:type="dxa"/>
              <w:left w:w="0" w:type="dxa"/>
              <w:bottom w:w="0" w:type="dxa"/>
              <w:right w:w="15" w:type="dxa"/>
            </w:tcMar>
            <w:vAlign w:val="bottom"/>
          </w:tcPr>
          <w:p w14:paraId="2E5764E4" w14:textId="77777777" w:rsidR="009A5AEC" w:rsidRDefault="00000000">
            <w:pPr>
              <w:pStyle w:val="Normal0"/>
              <w:rPr>
                <w:color w:val="000000"/>
                <w:sz w:val="20"/>
              </w:rPr>
            </w:pPr>
            <w:r>
              <w:rPr>
                <w:color w:val="000000"/>
                <w:sz w:val="20"/>
              </w:rPr>
              <w:t xml:space="preserve"> </w:t>
            </w:r>
          </w:p>
        </w:tc>
      </w:tr>
      <w:tr w:rsidR="003116D1" w14:paraId="16CD2C10" w14:textId="77777777" w:rsidTr="003D325E">
        <w:trPr>
          <w:cantSplit/>
          <w:jc w:val="center"/>
        </w:trPr>
        <w:tc>
          <w:tcPr>
            <w:tcW w:w="3047" w:type="pct"/>
            <w:shd w:val="clear" w:color="auto" w:fill="FFFFFF"/>
            <w:tcMar>
              <w:top w:w="15" w:type="dxa"/>
              <w:left w:w="0" w:type="dxa"/>
              <w:bottom w:w="0" w:type="dxa"/>
              <w:right w:w="15" w:type="dxa"/>
            </w:tcMar>
            <w:vAlign w:val="bottom"/>
          </w:tcPr>
          <w:p w14:paraId="77981D0F" w14:textId="77777777" w:rsidR="009A5AEC" w:rsidRDefault="00000000">
            <w:pPr>
              <w:pStyle w:val="Normal0"/>
              <w:keepNext/>
              <w:ind w:left="274"/>
              <w:rPr>
                <w:color w:val="000000"/>
                <w:sz w:val="20"/>
              </w:rPr>
            </w:pPr>
            <w:r>
              <w:rPr>
                <w:color w:val="000000"/>
                <w:sz w:val="20"/>
              </w:rPr>
              <w:t xml:space="preserve"> Non-cash stock compensation</w:t>
            </w:r>
          </w:p>
        </w:tc>
        <w:tc>
          <w:tcPr>
            <w:tcW w:w="83" w:type="pct"/>
            <w:shd w:val="clear" w:color="auto" w:fill="FFFFFF"/>
            <w:tcMar>
              <w:top w:w="15" w:type="dxa"/>
              <w:left w:w="0" w:type="dxa"/>
              <w:bottom w:w="0" w:type="dxa"/>
              <w:right w:w="15" w:type="dxa"/>
            </w:tcMar>
            <w:vAlign w:val="bottom"/>
          </w:tcPr>
          <w:p w14:paraId="219FC86E" w14:textId="77777777" w:rsidR="009A5AEC" w:rsidRDefault="00000000">
            <w:pPr>
              <w:pStyle w:val="Normal0"/>
              <w:rPr>
                <w:color w:val="000000"/>
                <w:sz w:val="20"/>
              </w:rPr>
            </w:pPr>
            <w:r>
              <w:rPr>
                <w:color w:val="000000"/>
                <w:sz w:val="20"/>
              </w:rPr>
              <w:t xml:space="preserve"> </w:t>
            </w:r>
          </w:p>
        </w:tc>
        <w:tc>
          <w:tcPr>
            <w:tcW w:w="61" w:type="pct"/>
            <w:shd w:val="clear" w:color="auto" w:fill="FFFFFF"/>
            <w:noWrap/>
            <w:tcMar>
              <w:top w:w="15" w:type="dxa"/>
              <w:left w:w="0" w:type="dxa"/>
              <w:bottom w:w="0" w:type="dxa"/>
              <w:right w:w="15" w:type="dxa"/>
            </w:tcMar>
            <w:vAlign w:val="bottom"/>
          </w:tcPr>
          <w:p w14:paraId="09D8E0BB" w14:textId="77777777" w:rsidR="009A5AEC" w:rsidRDefault="00000000">
            <w:pPr>
              <w:pStyle w:val="Normal0"/>
              <w:rPr>
                <w:color w:val="000000"/>
                <w:sz w:val="20"/>
              </w:rPr>
            </w:pPr>
            <w:r>
              <w:rPr>
                <w:color w:val="000000"/>
                <w:sz w:val="20"/>
              </w:rPr>
              <w:t xml:space="preserve"> </w:t>
            </w:r>
          </w:p>
        </w:tc>
        <w:tc>
          <w:tcPr>
            <w:tcW w:w="784" w:type="pct"/>
            <w:shd w:val="clear" w:color="auto" w:fill="FFFFFF"/>
            <w:noWrap/>
            <w:tcMar>
              <w:top w:w="15" w:type="dxa"/>
              <w:left w:w="0" w:type="dxa"/>
              <w:bottom w:w="0" w:type="dxa"/>
              <w:right w:w="15" w:type="dxa"/>
            </w:tcMar>
            <w:vAlign w:val="bottom"/>
          </w:tcPr>
          <w:p w14:paraId="60322552" w14:textId="77777777" w:rsidR="009A5AEC" w:rsidRDefault="00000000">
            <w:pPr>
              <w:pStyle w:val="Normal0"/>
              <w:jc w:val="right"/>
              <w:rPr>
                <w:color w:val="000000"/>
                <w:sz w:val="20"/>
              </w:rPr>
            </w:pPr>
            <w:r>
              <w:rPr>
                <w:color w:val="000000"/>
                <w:sz w:val="20"/>
              </w:rPr>
              <w:t>383</w:t>
            </w:r>
          </w:p>
        </w:tc>
        <w:tc>
          <w:tcPr>
            <w:tcW w:w="47" w:type="pct"/>
            <w:shd w:val="clear" w:color="auto" w:fill="FFFFFF"/>
            <w:noWrap/>
            <w:tcMar>
              <w:top w:w="15" w:type="dxa"/>
              <w:left w:w="0" w:type="dxa"/>
              <w:bottom w:w="0" w:type="dxa"/>
              <w:right w:w="15" w:type="dxa"/>
            </w:tcMar>
            <w:vAlign w:val="bottom"/>
          </w:tcPr>
          <w:p w14:paraId="7ECEAE40"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59FFC9EE" w14:textId="77777777" w:rsidR="009A5AEC" w:rsidRDefault="00000000">
            <w:pPr>
              <w:pStyle w:val="Normal0"/>
              <w:rPr>
                <w:color w:val="000000"/>
                <w:sz w:val="20"/>
              </w:rPr>
            </w:pPr>
            <w:r>
              <w:rPr>
                <w:color w:val="000000"/>
                <w:sz w:val="20"/>
              </w:rPr>
              <w:t xml:space="preserve"> </w:t>
            </w:r>
          </w:p>
        </w:tc>
        <w:tc>
          <w:tcPr>
            <w:tcW w:w="61" w:type="pct"/>
            <w:shd w:val="clear" w:color="auto" w:fill="FFFFFF"/>
            <w:noWrap/>
            <w:tcMar>
              <w:top w:w="15" w:type="dxa"/>
              <w:left w:w="0" w:type="dxa"/>
              <w:bottom w:w="0" w:type="dxa"/>
              <w:right w:w="15" w:type="dxa"/>
            </w:tcMar>
            <w:vAlign w:val="bottom"/>
          </w:tcPr>
          <w:p w14:paraId="44F292E4" w14:textId="77777777" w:rsidR="009A5AEC" w:rsidRDefault="00000000">
            <w:pPr>
              <w:pStyle w:val="Normal0"/>
              <w:rPr>
                <w:color w:val="000000"/>
                <w:sz w:val="20"/>
              </w:rPr>
            </w:pPr>
            <w:r>
              <w:rPr>
                <w:color w:val="000000"/>
                <w:sz w:val="20"/>
              </w:rPr>
              <w:t xml:space="preserve"> </w:t>
            </w:r>
          </w:p>
        </w:tc>
        <w:tc>
          <w:tcPr>
            <w:tcW w:w="785" w:type="pct"/>
            <w:shd w:val="clear" w:color="auto" w:fill="FFFFFF"/>
            <w:noWrap/>
            <w:tcMar>
              <w:top w:w="15" w:type="dxa"/>
              <w:left w:w="0" w:type="dxa"/>
              <w:bottom w:w="0" w:type="dxa"/>
              <w:right w:w="15" w:type="dxa"/>
            </w:tcMar>
            <w:vAlign w:val="bottom"/>
          </w:tcPr>
          <w:p w14:paraId="28FA1018" w14:textId="77777777" w:rsidR="009A5AEC" w:rsidRDefault="00000000">
            <w:pPr>
              <w:pStyle w:val="Normal0"/>
              <w:jc w:val="right"/>
              <w:rPr>
                <w:color w:val="000000"/>
                <w:sz w:val="20"/>
              </w:rPr>
            </w:pPr>
            <w:r>
              <w:rPr>
                <w:color w:val="000000"/>
                <w:sz w:val="20"/>
              </w:rPr>
              <w:t>116</w:t>
            </w:r>
          </w:p>
        </w:tc>
        <w:tc>
          <w:tcPr>
            <w:tcW w:w="47" w:type="pct"/>
            <w:shd w:val="clear" w:color="auto" w:fill="FFFFFF"/>
            <w:noWrap/>
            <w:tcMar>
              <w:top w:w="15" w:type="dxa"/>
              <w:left w:w="0" w:type="dxa"/>
              <w:bottom w:w="0" w:type="dxa"/>
              <w:right w:w="15" w:type="dxa"/>
            </w:tcMar>
            <w:vAlign w:val="bottom"/>
          </w:tcPr>
          <w:p w14:paraId="1C482557" w14:textId="77777777" w:rsidR="009A5AEC" w:rsidRDefault="00000000">
            <w:pPr>
              <w:pStyle w:val="Normal0"/>
              <w:rPr>
                <w:color w:val="000000"/>
                <w:sz w:val="20"/>
              </w:rPr>
            </w:pPr>
            <w:r>
              <w:rPr>
                <w:color w:val="000000"/>
                <w:sz w:val="20"/>
              </w:rPr>
              <w:t xml:space="preserve"> </w:t>
            </w:r>
          </w:p>
        </w:tc>
      </w:tr>
      <w:tr w:rsidR="003116D1" w14:paraId="3696BD49" w14:textId="77777777" w:rsidTr="003D325E">
        <w:trPr>
          <w:cantSplit/>
          <w:jc w:val="center"/>
        </w:trPr>
        <w:tc>
          <w:tcPr>
            <w:tcW w:w="3047" w:type="pct"/>
            <w:shd w:val="clear" w:color="auto" w:fill="FFFFFF"/>
            <w:tcMar>
              <w:top w:w="15" w:type="dxa"/>
              <w:left w:w="0" w:type="dxa"/>
              <w:bottom w:w="0" w:type="dxa"/>
              <w:right w:w="15" w:type="dxa"/>
            </w:tcMar>
            <w:vAlign w:val="bottom"/>
          </w:tcPr>
          <w:p w14:paraId="582010CB" w14:textId="77777777" w:rsidR="009A5AEC" w:rsidRDefault="00000000">
            <w:pPr>
              <w:pStyle w:val="Normal0"/>
              <w:keepNext/>
              <w:ind w:left="274"/>
              <w:rPr>
                <w:color w:val="000000"/>
                <w:sz w:val="20"/>
              </w:rPr>
            </w:pPr>
            <w:r>
              <w:rPr>
                <w:color w:val="000000"/>
                <w:sz w:val="20"/>
              </w:rPr>
              <w:t xml:space="preserve"> Gain on equity investment in unconsolidated subsidiary</w:t>
            </w:r>
          </w:p>
        </w:tc>
        <w:tc>
          <w:tcPr>
            <w:tcW w:w="83" w:type="pct"/>
            <w:shd w:val="clear" w:color="auto" w:fill="FFFFFF"/>
            <w:tcMar>
              <w:top w:w="15" w:type="dxa"/>
              <w:left w:w="0" w:type="dxa"/>
              <w:bottom w:w="0" w:type="dxa"/>
              <w:right w:w="15" w:type="dxa"/>
            </w:tcMar>
            <w:vAlign w:val="bottom"/>
          </w:tcPr>
          <w:p w14:paraId="61311150" w14:textId="77777777" w:rsidR="009A5AEC" w:rsidRDefault="00000000">
            <w:pPr>
              <w:pStyle w:val="Normal0"/>
              <w:rPr>
                <w:color w:val="000000"/>
                <w:sz w:val="20"/>
              </w:rPr>
            </w:pPr>
            <w:r>
              <w:rPr>
                <w:color w:val="000000"/>
                <w:sz w:val="20"/>
              </w:rPr>
              <w:t xml:space="preserve"> </w:t>
            </w:r>
          </w:p>
        </w:tc>
        <w:tc>
          <w:tcPr>
            <w:tcW w:w="61" w:type="pct"/>
            <w:shd w:val="clear" w:color="auto" w:fill="FFFFFF"/>
            <w:noWrap/>
            <w:tcMar>
              <w:top w:w="15" w:type="dxa"/>
              <w:left w:w="0" w:type="dxa"/>
              <w:bottom w:w="0" w:type="dxa"/>
              <w:right w:w="15" w:type="dxa"/>
            </w:tcMar>
            <w:vAlign w:val="bottom"/>
          </w:tcPr>
          <w:p w14:paraId="32721489" w14:textId="77777777" w:rsidR="009A5AEC" w:rsidRDefault="00000000">
            <w:pPr>
              <w:pStyle w:val="Normal0"/>
              <w:rPr>
                <w:color w:val="000000"/>
                <w:sz w:val="20"/>
              </w:rPr>
            </w:pPr>
            <w:r>
              <w:rPr>
                <w:color w:val="000000"/>
                <w:sz w:val="20"/>
              </w:rPr>
              <w:t xml:space="preserve"> </w:t>
            </w:r>
          </w:p>
        </w:tc>
        <w:tc>
          <w:tcPr>
            <w:tcW w:w="784" w:type="pct"/>
            <w:shd w:val="clear" w:color="auto" w:fill="FFFFFF"/>
            <w:noWrap/>
            <w:tcMar>
              <w:top w:w="15" w:type="dxa"/>
              <w:left w:w="0" w:type="dxa"/>
              <w:bottom w:w="0" w:type="dxa"/>
              <w:right w:w="15" w:type="dxa"/>
            </w:tcMar>
            <w:vAlign w:val="bottom"/>
          </w:tcPr>
          <w:p w14:paraId="5D8AA9E1" w14:textId="77777777" w:rsidR="009A5AEC" w:rsidRDefault="00000000">
            <w:pPr>
              <w:pStyle w:val="Normal0"/>
              <w:jc w:val="right"/>
              <w:rPr>
                <w:color w:val="000000"/>
                <w:sz w:val="20"/>
              </w:rPr>
            </w:pPr>
            <w:r>
              <w:rPr>
                <w:color w:val="000000"/>
                <w:sz w:val="20"/>
              </w:rPr>
              <w:t>—</w:t>
            </w:r>
          </w:p>
        </w:tc>
        <w:tc>
          <w:tcPr>
            <w:tcW w:w="47" w:type="pct"/>
            <w:shd w:val="clear" w:color="auto" w:fill="FFFFFF"/>
            <w:noWrap/>
            <w:tcMar>
              <w:top w:w="15" w:type="dxa"/>
              <w:left w:w="0" w:type="dxa"/>
              <w:bottom w:w="0" w:type="dxa"/>
              <w:right w:w="15" w:type="dxa"/>
            </w:tcMar>
            <w:vAlign w:val="bottom"/>
          </w:tcPr>
          <w:p w14:paraId="2BA3FBF9"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4D065420" w14:textId="77777777" w:rsidR="009A5AEC" w:rsidRDefault="00000000">
            <w:pPr>
              <w:pStyle w:val="Normal0"/>
              <w:rPr>
                <w:color w:val="000000"/>
                <w:sz w:val="20"/>
              </w:rPr>
            </w:pPr>
            <w:r>
              <w:rPr>
                <w:color w:val="000000"/>
                <w:sz w:val="20"/>
              </w:rPr>
              <w:t xml:space="preserve"> </w:t>
            </w:r>
          </w:p>
        </w:tc>
        <w:tc>
          <w:tcPr>
            <w:tcW w:w="61" w:type="pct"/>
            <w:shd w:val="clear" w:color="auto" w:fill="FFFFFF"/>
            <w:noWrap/>
            <w:tcMar>
              <w:top w:w="15" w:type="dxa"/>
              <w:left w:w="0" w:type="dxa"/>
              <w:bottom w:w="0" w:type="dxa"/>
              <w:right w:w="15" w:type="dxa"/>
            </w:tcMar>
            <w:vAlign w:val="bottom"/>
          </w:tcPr>
          <w:p w14:paraId="06D63335" w14:textId="77777777" w:rsidR="009A5AEC" w:rsidRDefault="00000000">
            <w:pPr>
              <w:pStyle w:val="Normal0"/>
              <w:rPr>
                <w:color w:val="000000"/>
                <w:sz w:val="20"/>
              </w:rPr>
            </w:pPr>
            <w:r>
              <w:rPr>
                <w:color w:val="000000"/>
                <w:sz w:val="20"/>
              </w:rPr>
              <w:t xml:space="preserve"> </w:t>
            </w:r>
          </w:p>
        </w:tc>
        <w:tc>
          <w:tcPr>
            <w:tcW w:w="785" w:type="pct"/>
            <w:shd w:val="clear" w:color="auto" w:fill="FFFFFF"/>
            <w:noWrap/>
            <w:tcMar>
              <w:top w:w="15" w:type="dxa"/>
              <w:left w:w="0" w:type="dxa"/>
              <w:bottom w:w="0" w:type="dxa"/>
              <w:right w:w="15" w:type="dxa"/>
            </w:tcMar>
            <w:vAlign w:val="bottom"/>
          </w:tcPr>
          <w:p w14:paraId="62773B17" w14:textId="77777777" w:rsidR="009A5AEC" w:rsidRDefault="00000000">
            <w:pPr>
              <w:pStyle w:val="Normal0"/>
              <w:jc w:val="right"/>
              <w:rPr>
                <w:color w:val="000000"/>
                <w:sz w:val="20"/>
              </w:rPr>
            </w:pPr>
            <w:r>
              <w:rPr>
                <w:color w:val="000000"/>
                <w:sz w:val="20"/>
              </w:rPr>
              <w:t>(59,453</w:t>
            </w:r>
          </w:p>
        </w:tc>
        <w:tc>
          <w:tcPr>
            <w:tcW w:w="47" w:type="pct"/>
            <w:shd w:val="clear" w:color="auto" w:fill="FFFFFF"/>
            <w:noWrap/>
            <w:tcMar>
              <w:top w:w="15" w:type="dxa"/>
              <w:left w:w="0" w:type="dxa"/>
              <w:bottom w:w="0" w:type="dxa"/>
              <w:right w:w="15" w:type="dxa"/>
            </w:tcMar>
            <w:vAlign w:val="bottom"/>
          </w:tcPr>
          <w:p w14:paraId="1322BC19" w14:textId="77777777" w:rsidR="009A5AEC" w:rsidRDefault="00000000">
            <w:pPr>
              <w:pStyle w:val="Normal0"/>
              <w:rPr>
                <w:color w:val="000000"/>
                <w:sz w:val="20"/>
              </w:rPr>
            </w:pPr>
            <w:r>
              <w:rPr>
                <w:color w:val="000000"/>
                <w:sz w:val="20"/>
              </w:rPr>
              <w:t>)</w:t>
            </w:r>
          </w:p>
        </w:tc>
      </w:tr>
      <w:tr w:rsidR="003116D1" w14:paraId="1AD84763" w14:textId="77777777" w:rsidTr="003D325E">
        <w:trPr>
          <w:cantSplit/>
          <w:jc w:val="center"/>
        </w:trPr>
        <w:tc>
          <w:tcPr>
            <w:tcW w:w="3047" w:type="pct"/>
            <w:shd w:val="clear" w:color="auto" w:fill="FFFFFF"/>
            <w:tcMar>
              <w:top w:w="15" w:type="dxa"/>
              <w:left w:w="0" w:type="dxa"/>
              <w:bottom w:w="0" w:type="dxa"/>
              <w:right w:w="15" w:type="dxa"/>
            </w:tcMar>
            <w:vAlign w:val="bottom"/>
          </w:tcPr>
          <w:p w14:paraId="4FE867D2" w14:textId="77777777" w:rsidR="009A5AEC" w:rsidRDefault="00000000">
            <w:pPr>
              <w:pStyle w:val="Normal0"/>
              <w:keepNext/>
              <w:ind w:left="274"/>
              <w:rPr>
                <w:color w:val="000000"/>
                <w:sz w:val="20"/>
              </w:rPr>
            </w:pPr>
            <w:r>
              <w:rPr>
                <w:color w:val="000000"/>
                <w:sz w:val="20"/>
              </w:rPr>
              <w:t xml:space="preserve"> Investment loss</w:t>
            </w:r>
          </w:p>
        </w:tc>
        <w:tc>
          <w:tcPr>
            <w:tcW w:w="83" w:type="pct"/>
            <w:shd w:val="clear" w:color="auto" w:fill="FFFFFF"/>
            <w:tcMar>
              <w:top w:w="15" w:type="dxa"/>
              <w:left w:w="0" w:type="dxa"/>
              <w:bottom w:w="0" w:type="dxa"/>
              <w:right w:w="15" w:type="dxa"/>
            </w:tcMar>
            <w:vAlign w:val="bottom"/>
          </w:tcPr>
          <w:p w14:paraId="21E3B603" w14:textId="77777777" w:rsidR="009A5AEC" w:rsidRDefault="00000000">
            <w:pPr>
              <w:pStyle w:val="Normal0"/>
              <w:rPr>
                <w:color w:val="000000"/>
                <w:sz w:val="20"/>
              </w:rPr>
            </w:pPr>
            <w:r>
              <w:rPr>
                <w:color w:val="000000"/>
                <w:sz w:val="20"/>
              </w:rPr>
              <w:t xml:space="preserve"> </w:t>
            </w:r>
          </w:p>
        </w:tc>
        <w:tc>
          <w:tcPr>
            <w:tcW w:w="61" w:type="pct"/>
            <w:shd w:val="clear" w:color="auto" w:fill="FFFFFF"/>
            <w:noWrap/>
            <w:tcMar>
              <w:top w:w="15" w:type="dxa"/>
              <w:left w:w="0" w:type="dxa"/>
              <w:bottom w:w="0" w:type="dxa"/>
              <w:right w:w="15" w:type="dxa"/>
            </w:tcMar>
            <w:vAlign w:val="bottom"/>
          </w:tcPr>
          <w:p w14:paraId="37CA58F2" w14:textId="77777777" w:rsidR="009A5AEC" w:rsidRDefault="00000000">
            <w:pPr>
              <w:pStyle w:val="Normal0"/>
              <w:rPr>
                <w:color w:val="000000"/>
                <w:sz w:val="20"/>
              </w:rPr>
            </w:pPr>
            <w:r>
              <w:rPr>
                <w:color w:val="000000"/>
                <w:sz w:val="20"/>
              </w:rPr>
              <w:t xml:space="preserve"> </w:t>
            </w:r>
          </w:p>
        </w:tc>
        <w:tc>
          <w:tcPr>
            <w:tcW w:w="784" w:type="pct"/>
            <w:shd w:val="clear" w:color="auto" w:fill="FFFFFF"/>
            <w:noWrap/>
            <w:tcMar>
              <w:top w:w="15" w:type="dxa"/>
              <w:left w:w="0" w:type="dxa"/>
              <w:bottom w:w="0" w:type="dxa"/>
              <w:right w:w="15" w:type="dxa"/>
            </w:tcMar>
            <w:vAlign w:val="bottom"/>
          </w:tcPr>
          <w:p w14:paraId="68C31D2B" w14:textId="77777777" w:rsidR="009A5AEC" w:rsidRDefault="00000000">
            <w:pPr>
              <w:pStyle w:val="Normal0"/>
              <w:jc w:val="right"/>
              <w:rPr>
                <w:color w:val="000000"/>
                <w:sz w:val="20"/>
              </w:rPr>
            </w:pPr>
            <w:r>
              <w:rPr>
                <w:color w:val="000000"/>
                <w:sz w:val="20"/>
              </w:rPr>
              <w:t>4,449</w:t>
            </w:r>
          </w:p>
        </w:tc>
        <w:tc>
          <w:tcPr>
            <w:tcW w:w="47" w:type="pct"/>
            <w:shd w:val="clear" w:color="auto" w:fill="FFFFFF"/>
            <w:noWrap/>
            <w:tcMar>
              <w:top w:w="15" w:type="dxa"/>
              <w:left w:w="0" w:type="dxa"/>
              <w:bottom w:w="0" w:type="dxa"/>
              <w:right w:w="15" w:type="dxa"/>
            </w:tcMar>
            <w:vAlign w:val="bottom"/>
          </w:tcPr>
          <w:p w14:paraId="2042F1FC"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434A1196" w14:textId="77777777" w:rsidR="009A5AEC" w:rsidRDefault="00000000">
            <w:pPr>
              <w:pStyle w:val="Normal0"/>
              <w:rPr>
                <w:color w:val="000000"/>
                <w:sz w:val="20"/>
              </w:rPr>
            </w:pPr>
            <w:r>
              <w:rPr>
                <w:color w:val="000000"/>
                <w:sz w:val="20"/>
              </w:rPr>
              <w:t xml:space="preserve"> </w:t>
            </w:r>
          </w:p>
        </w:tc>
        <w:tc>
          <w:tcPr>
            <w:tcW w:w="61" w:type="pct"/>
            <w:shd w:val="clear" w:color="auto" w:fill="FFFFFF"/>
            <w:noWrap/>
            <w:tcMar>
              <w:top w:w="15" w:type="dxa"/>
              <w:left w:w="0" w:type="dxa"/>
              <w:bottom w:w="0" w:type="dxa"/>
              <w:right w:w="15" w:type="dxa"/>
            </w:tcMar>
            <w:vAlign w:val="bottom"/>
          </w:tcPr>
          <w:p w14:paraId="0B917472" w14:textId="77777777" w:rsidR="009A5AEC" w:rsidRDefault="00000000">
            <w:pPr>
              <w:pStyle w:val="Normal0"/>
              <w:rPr>
                <w:color w:val="000000"/>
                <w:sz w:val="20"/>
              </w:rPr>
            </w:pPr>
            <w:r>
              <w:rPr>
                <w:color w:val="000000"/>
                <w:sz w:val="20"/>
              </w:rPr>
              <w:t xml:space="preserve"> </w:t>
            </w:r>
          </w:p>
        </w:tc>
        <w:tc>
          <w:tcPr>
            <w:tcW w:w="785" w:type="pct"/>
            <w:shd w:val="clear" w:color="auto" w:fill="FFFFFF"/>
            <w:noWrap/>
            <w:tcMar>
              <w:top w:w="15" w:type="dxa"/>
              <w:left w:w="0" w:type="dxa"/>
              <w:bottom w:w="0" w:type="dxa"/>
              <w:right w:w="15" w:type="dxa"/>
            </w:tcMar>
            <w:vAlign w:val="bottom"/>
          </w:tcPr>
          <w:p w14:paraId="662D01CB" w14:textId="77777777" w:rsidR="009A5AEC" w:rsidRDefault="00000000">
            <w:pPr>
              <w:pStyle w:val="Normal0"/>
              <w:jc w:val="right"/>
              <w:rPr>
                <w:color w:val="000000"/>
                <w:sz w:val="20"/>
              </w:rPr>
            </w:pPr>
            <w:r>
              <w:rPr>
                <w:color w:val="000000"/>
                <w:sz w:val="20"/>
              </w:rPr>
              <w:t>18,407</w:t>
            </w:r>
          </w:p>
        </w:tc>
        <w:tc>
          <w:tcPr>
            <w:tcW w:w="47" w:type="pct"/>
            <w:shd w:val="clear" w:color="auto" w:fill="FFFFFF"/>
            <w:noWrap/>
            <w:tcMar>
              <w:top w:w="15" w:type="dxa"/>
              <w:left w:w="0" w:type="dxa"/>
              <w:bottom w:w="0" w:type="dxa"/>
              <w:right w:w="15" w:type="dxa"/>
            </w:tcMar>
            <w:vAlign w:val="bottom"/>
          </w:tcPr>
          <w:p w14:paraId="67AAB46A" w14:textId="77777777" w:rsidR="009A5AEC" w:rsidRDefault="00000000">
            <w:pPr>
              <w:pStyle w:val="Normal0"/>
              <w:rPr>
                <w:color w:val="000000"/>
                <w:sz w:val="20"/>
              </w:rPr>
            </w:pPr>
            <w:r>
              <w:rPr>
                <w:color w:val="000000"/>
                <w:sz w:val="20"/>
              </w:rPr>
              <w:t xml:space="preserve"> </w:t>
            </w:r>
          </w:p>
        </w:tc>
      </w:tr>
      <w:tr w:rsidR="003116D1" w14:paraId="377A4821" w14:textId="77777777" w:rsidTr="003D325E">
        <w:trPr>
          <w:cantSplit/>
          <w:jc w:val="center"/>
        </w:trPr>
        <w:tc>
          <w:tcPr>
            <w:tcW w:w="3047" w:type="pct"/>
            <w:shd w:val="clear" w:color="auto" w:fill="FFFFFF"/>
            <w:tcMar>
              <w:top w:w="15" w:type="dxa"/>
              <w:left w:w="0" w:type="dxa"/>
              <w:bottom w:w="0" w:type="dxa"/>
              <w:right w:w="15" w:type="dxa"/>
            </w:tcMar>
            <w:vAlign w:val="bottom"/>
          </w:tcPr>
          <w:p w14:paraId="7637649F" w14:textId="77777777" w:rsidR="009A5AEC" w:rsidRDefault="00000000">
            <w:pPr>
              <w:pStyle w:val="Normal0"/>
              <w:keepNext/>
              <w:ind w:left="274"/>
              <w:rPr>
                <w:color w:val="000000"/>
                <w:sz w:val="20"/>
              </w:rPr>
            </w:pPr>
            <w:r>
              <w:rPr>
                <w:color w:val="000000"/>
                <w:sz w:val="20"/>
              </w:rPr>
              <w:t xml:space="preserve"> Non-cash donation of IRNT common stock</w:t>
            </w:r>
          </w:p>
        </w:tc>
        <w:tc>
          <w:tcPr>
            <w:tcW w:w="83" w:type="pct"/>
            <w:shd w:val="clear" w:color="auto" w:fill="FFFFFF"/>
            <w:tcMar>
              <w:top w:w="15" w:type="dxa"/>
              <w:left w:w="0" w:type="dxa"/>
              <w:bottom w:w="0" w:type="dxa"/>
              <w:right w:w="15" w:type="dxa"/>
            </w:tcMar>
            <w:vAlign w:val="bottom"/>
          </w:tcPr>
          <w:p w14:paraId="461C28CA" w14:textId="77777777" w:rsidR="009A5AEC" w:rsidRDefault="00000000">
            <w:pPr>
              <w:pStyle w:val="Normal0"/>
              <w:rPr>
                <w:color w:val="000000"/>
                <w:sz w:val="20"/>
              </w:rPr>
            </w:pPr>
            <w:r>
              <w:rPr>
                <w:color w:val="000000"/>
                <w:sz w:val="20"/>
              </w:rPr>
              <w:t xml:space="preserve"> </w:t>
            </w:r>
          </w:p>
        </w:tc>
        <w:tc>
          <w:tcPr>
            <w:tcW w:w="61" w:type="pct"/>
            <w:shd w:val="clear" w:color="auto" w:fill="FFFFFF"/>
            <w:noWrap/>
            <w:tcMar>
              <w:top w:w="15" w:type="dxa"/>
              <w:left w:w="0" w:type="dxa"/>
              <w:bottom w:w="0" w:type="dxa"/>
              <w:right w:w="15" w:type="dxa"/>
            </w:tcMar>
            <w:vAlign w:val="bottom"/>
          </w:tcPr>
          <w:p w14:paraId="41559F21" w14:textId="77777777" w:rsidR="009A5AEC" w:rsidRDefault="00000000">
            <w:pPr>
              <w:pStyle w:val="Normal0"/>
              <w:rPr>
                <w:color w:val="000000"/>
                <w:sz w:val="20"/>
              </w:rPr>
            </w:pPr>
            <w:r>
              <w:rPr>
                <w:color w:val="000000"/>
                <w:sz w:val="20"/>
              </w:rPr>
              <w:t xml:space="preserve"> </w:t>
            </w:r>
          </w:p>
        </w:tc>
        <w:tc>
          <w:tcPr>
            <w:tcW w:w="784" w:type="pct"/>
            <w:shd w:val="clear" w:color="auto" w:fill="FFFFFF"/>
            <w:noWrap/>
            <w:tcMar>
              <w:top w:w="15" w:type="dxa"/>
              <w:left w:w="0" w:type="dxa"/>
              <w:bottom w:w="0" w:type="dxa"/>
              <w:right w:w="15" w:type="dxa"/>
            </w:tcMar>
            <w:vAlign w:val="bottom"/>
          </w:tcPr>
          <w:p w14:paraId="0CC69559" w14:textId="77777777" w:rsidR="009A5AEC" w:rsidRDefault="00000000">
            <w:pPr>
              <w:pStyle w:val="Normal0"/>
              <w:jc w:val="right"/>
              <w:rPr>
                <w:color w:val="000000"/>
                <w:sz w:val="20"/>
              </w:rPr>
            </w:pPr>
            <w:r>
              <w:rPr>
                <w:color w:val="000000"/>
                <w:sz w:val="20"/>
              </w:rPr>
              <w:t>—</w:t>
            </w:r>
          </w:p>
        </w:tc>
        <w:tc>
          <w:tcPr>
            <w:tcW w:w="47" w:type="pct"/>
            <w:shd w:val="clear" w:color="auto" w:fill="FFFFFF"/>
            <w:noWrap/>
            <w:tcMar>
              <w:top w:w="15" w:type="dxa"/>
              <w:left w:w="0" w:type="dxa"/>
              <w:bottom w:w="0" w:type="dxa"/>
              <w:right w:w="15" w:type="dxa"/>
            </w:tcMar>
            <w:vAlign w:val="bottom"/>
          </w:tcPr>
          <w:p w14:paraId="395C4170"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234731D1" w14:textId="77777777" w:rsidR="009A5AEC" w:rsidRDefault="00000000">
            <w:pPr>
              <w:pStyle w:val="Normal0"/>
              <w:rPr>
                <w:color w:val="000000"/>
                <w:sz w:val="20"/>
              </w:rPr>
            </w:pPr>
            <w:r>
              <w:rPr>
                <w:color w:val="000000"/>
                <w:sz w:val="20"/>
              </w:rPr>
              <w:t xml:space="preserve"> </w:t>
            </w:r>
          </w:p>
        </w:tc>
        <w:tc>
          <w:tcPr>
            <w:tcW w:w="61" w:type="pct"/>
            <w:shd w:val="clear" w:color="auto" w:fill="FFFFFF"/>
            <w:noWrap/>
            <w:tcMar>
              <w:top w:w="15" w:type="dxa"/>
              <w:left w:w="0" w:type="dxa"/>
              <w:bottom w:w="0" w:type="dxa"/>
              <w:right w:w="15" w:type="dxa"/>
            </w:tcMar>
            <w:vAlign w:val="bottom"/>
          </w:tcPr>
          <w:p w14:paraId="7D4EE761" w14:textId="77777777" w:rsidR="009A5AEC" w:rsidRDefault="00000000">
            <w:pPr>
              <w:pStyle w:val="Normal0"/>
              <w:rPr>
                <w:color w:val="000000"/>
                <w:sz w:val="20"/>
              </w:rPr>
            </w:pPr>
            <w:r>
              <w:rPr>
                <w:color w:val="000000"/>
                <w:sz w:val="20"/>
              </w:rPr>
              <w:t xml:space="preserve"> </w:t>
            </w:r>
          </w:p>
        </w:tc>
        <w:tc>
          <w:tcPr>
            <w:tcW w:w="785" w:type="pct"/>
            <w:shd w:val="clear" w:color="auto" w:fill="FFFFFF"/>
            <w:noWrap/>
            <w:tcMar>
              <w:top w:w="15" w:type="dxa"/>
              <w:left w:w="0" w:type="dxa"/>
              <w:bottom w:w="0" w:type="dxa"/>
              <w:right w:w="15" w:type="dxa"/>
            </w:tcMar>
            <w:vAlign w:val="bottom"/>
          </w:tcPr>
          <w:p w14:paraId="570F66E1" w14:textId="77777777" w:rsidR="009A5AEC" w:rsidRDefault="00000000">
            <w:pPr>
              <w:pStyle w:val="Normal0"/>
              <w:jc w:val="right"/>
              <w:rPr>
                <w:color w:val="000000"/>
                <w:sz w:val="20"/>
              </w:rPr>
            </w:pPr>
            <w:r>
              <w:rPr>
                <w:color w:val="000000"/>
                <w:sz w:val="20"/>
              </w:rPr>
              <w:t>1,318</w:t>
            </w:r>
          </w:p>
        </w:tc>
        <w:tc>
          <w:tcPr>
            <w:tcW w:w="47" w:type="pct"/>
            <w:shd w:val="clear" w:color="auto" w:fill="FFFFFF"/>
            <w:noWrap/>
            <w:tcMar>
              <w:top w:w="15" w:type="dxa"/>
              <w:left w:w="0" w:type="dxa"/>
              <w:bottom w:w="0" w:type="dxa"/>
              <w:right w:w="15" w:type="dxa"/>
            </w:tcMar>
            <w:vAlign w:val="bottom"/>
          </w:tcPr>
          <w:p w14:paraId="04EA9C49" w14:textId="77777777" w:rsidR="009A5AEC" w:rsidRDefault="00000000">
            <w:pPr>
              <w:pStyle w:val="Normal0"/>
              <w:rPr>
                <w:color w:val="000000"/>
                <w:sz w:val="20"/>
              </w:rPr>
            </w:pPr>
            <w:r>
              <w:rPr>
                <w:color w:val="000000"/>
                <w:sz w:val="20"/>
              </w:rPr>
              <w:t xml:space="preserve"> </w:t>
            </w:r>
          </w:p>
        </w:tc>
      </w:tr>
      <w:tr w:rsidR="003116D1" w14:paraId="62443C57" w14:textId="77777777" w:rsidTr="003D325E">
        <w:trPr>
          <w:cantSplit/>
          <w:jc w:val="center"/>
        </w:trPr>
        <w:tc>
          <w:tcPr>
            <w:tcW w:w="3047" w:type="pct"/>
            <w:shd w:val="clear" w:color="auto" w:fill="FFFFFF"/>
            <w:tcMar>
              <w:top w:w="15" w:type="dxa"/>
              <w:left w:w="0" w:type="dxa"/>
              <w:bottom w:w="0" w:type="dxa"/>
              <w:right w:w="15" w:type="dxa"/>
            </w:tcMar>
            <w:vAlign w:val="bottom"/>
          </w:tcPr>
          <w:p w14:paraId="692DE8E3" w14:textId="77777777" w:rsidR="009A5AEC" w:rsidRDefault="00000000">
            <w:pPr>
              <w:pStyle w:val="Normal0"/>
              <w:keepNext/>
              <w:ind w:left="274"/>
              <w:rPr>
                <w:color w:val="000000"/>
                <w:sz w:val="20"/>
              </w:rPr>
            </w:pPr>
            <w:r>
              <w:rPr>
                <w:color w:val="000000"/>
                <w:sz w:val="20"/>
              </w:rPr>
              <w:t xml:space="preserve"> Spin-Off costs</w:t>
            </w:r>
          </w:p>
        </w:tc>
        <w:tc>
          <w:tcPr>
            <w:tcW w:w="83" w:type="pct"/>
            <w:shd w:val="clear" w:color="auto" w:fill="FFFFFF"/>
            <w:tcMar>
              <w:top w:w="15" w:type="dxa"/>
              <w:left w:w="0" w:type="dxa"/>
              <w:bottom w:w="0" w:type="dxa"/>
              <w:right w:w="15" w:type="dxa"/>
            </w:tcMar>
            <w:vAlign w:val="bottom"/>
          </w:tcPr>
          <w:p w14:paraId="214C3092" w14:textId="77777777" w:rsidR="009A5AEC" w:rsidRDefault="00000000">
            <w:pPr>
              <w:pStyle w:val="Normal0"/>
              <w:rPr>
                <w:color w:val="000000"/>
                <w:sz w:val="20"/>
              </w:rPr>
            </w:pPr>
            <w:r>
              <w:rPr>
                <w:color w:val="000000"/>
                <w:sz w:val="20"/>
              </w:rPr>
              <w:t xml:space="preserve"> </w:t>
            </w:r>
          </w:p>
        </w:tc>
        <w:tc>
          <w:tcPr>
            <w:tcW w:w="61" w:type="pct"/>
            <w:tcBorders>
              <w:bottom w:val="single" w:sz="2" w:space="0" w:color="000000"/>
            </w:tcBorders>
            <w:shd w:val="clear" w:color="auto" w:fill="FFFFFF"/>
            <w:noWrap/>
            <w:tcMar>
              <w:top w:w="15" w:type="dxa"/>
              <w:left w:w="0" w:type="dxa"/>
              <w:bottom w:w="0" w:type="dxa"/>
              <w:right w:w="15" w:type="dxa"/>
            </w:tcMar>
            <w:vAlign w:val="bottom"/>
          </w:tcPr>
          <w:p w14:paraId="02F01E4B" w14:textId="77777777" w:rsidR="009A5AEC" w:rsidRDefault="00000000">
            <w:pPr>
              <w:pStyle w:val="Normal0"/>
              <w:rPr>
                <w:color w:val="000000"/>
                <w:sz w:val="20"/>
              </w:rPr>
            </w:pPr>
            <w:r>
              <w:rPr>
                <w:color w:val="000000"/>
                <w:sz w:val="20"/>
              </w:rPr>
              <w:t xml:space="preserve"> </w:t>
            </w:r>
          </w:p>
        </w:tc>
        <w:tc>
          <w:tcPr>
            <w:tcW w:w="784" w:type="pct"/>
            <w:tcBorders>
              <w:bottom w:val="single" w:sz="2" w:space="0" w:color="000000"/>
            </w:tcBorders>
            <w:shd w:val="clear" w:color="auto" w:fill="FFFFFF"/>
            <w:noWrap/>
            <w:tcMar>
              <w:top w:w="15" w:type="dxa"/>
              <w:left w:w="0" w:type="dxa"/>
              <w:bottom w:w="0" w:type="dxa"/>
              <w:right w:w="15" w:type="dxa"/>
            </w:tcMar>
            <w:vAlign w:val="bottom"/>
          </w:tcPr>
          <w:p w14:paraId="50C6E123" w14:textId="77777777" w:rsidR="009A5AEC" w:rsidRDefault="00000000">
            <w:pPr>
              <w:pStyle w:val="Normal0"/>
              <w:jc w:val="right"/>
              <w:rPr>
                <w:color w:val="000000"/>
                <w:sz w:val="20"/>
              </w:rPr>
            </w:pPr>
            <w:r>
              <w:rPr>
                <w:color w:val="000000"/>
                <w:sz w:val="20"/>
              </w:rPr>
              <w:t>575</w:t>
            </w:r>
          </w:p>
        </w:tc>
        <w:tc>
          <w:tcPr>
            <w:tcW w:w="47" w:type="pct"/>
            <w:shd w:val="clear" w:color="auto" w:fill="FFFFFF"/>
            <w:noWrap/>
            <w:tcMar>
              <w:top w:w="15" w:type="dxa"/>
              <w:left w:w="0" w:type="dxa"/>
              <w:bottom w:w="0" w:type="dxa"/>
              <w:right w:w="15" w:type="dxa"/>
            </w:tcMar>
            <w:vAlign w:val="bottom"/>
          </w:tcPr>
          <w:p w14:paraId="78B7D6E7"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3FBC4EEF" w14:textId="77777777" w:rsidR="009A5AEC" w:rsidRDefault="00000000">
            <w:pPr>
              <w:pStyle w:val="Normal0"/>
              <w:rPr>
                <w:color w:val="000000"/>
                <w:sz w:val="20"/>
              </w:rPr>
            </w:pPr>
            <w:r>
              <w:rPr>
                <w:color w:val="000000"/>
                <w:sz w:val="20"/>
              </w:rPr>
              <w:t xml:space="preserve"> </w:t>
            </w:r>
          </w:p>
        </w:tc>
        <w:tc>
          <w:tcPr>
            <w:tcW w:w="61" w:type="pct"/>
            <w:tcBorders>
              <w:bottom w:val="single" w:sz="2" w:space="0" w:color="000000"/>
            </w:tcBorders>
            <w:shd w:val="clear" w:color="auto" w:fill="FFFFFF"/>
            <w:noWrap/>
            <w:tcMar>
              <w:top w:w="15" w:type="dxa"/>
              <w:left w:w="0" w:type="dxa"/>
              <w:bottom w:w="0" w:type="dxa"/>
              <w:right w:w="15" w:type="dxa"/>
            </w:tcMar>
            <w:vAlign w:val="bottom"/>
          </w:tcPr>
          <w:p w14:paraId="362CF9C5" w14:textId="77777777" w:rsidR="009A5AEC" w:rsidRDefault="00000000">
            <w:pPr>
              <w:pStyle w:val="Normal0"/>
              <w:rPr>
                <w:color w:val="000000"/>
                <w:sz w:val="20"/>
              </w:rPr>
            </w:pPr>
            <w:r>
              <w:rPr>
                <w:color w:val="000000"/>
                <w:sz w:val="20"/>
              </w:rPr>
              <w:t xml:space="preserve"> </w:t>
            </w:r>
          </w:p>
        </w:tc>
        <w:tc>
          <w:tcPr>
            <w:tcW w:w="785" w:type="pct"/>
            <w:tcBorders>
              <w:bottom w:val="single" w:sz="2" w:space="0" w:color="000000"/>
            </w:tcBorders>
            <w:shd w:val="clear" w:color="auto" w:fill="FFFFFF"/>
            <w:noWrap/>
            <w:tcMar>
              <w:top w:w="15" w:type="dxa"/>
              <w:left w:w="0" w:type="dxa"/>
              <w:bottom w:w="0" w:type="dxa"/>
              <w:right w:w="15" w:type="dxa"/>
            </w:tcMar>
            <w:vAlign w:val="bottom"/>
          </w:tcPr>
          <w:p w14:paraId="7676D753" w14:textId="77777777" w:rsidR="009A5AEC" w:rsidRDefault="00000000">
            <w:pPr>
              <w:pStyle w:val="Normal0"/>
              <w:jc w:val="right"/>
              <w:rPr>
                <w:color w:val="000000"/>
                <w:sz w:val="20"/>
              </w:rPr>
            </w:pPr>
            <w:r>
              <w:rPr>
                <w:color w:val="000000"/>
                <w:sz w:val="20"/>
              </w:rPr>
              <w:t>—</w:t>
            </w:r>
          </w:p>
        </w:tc>
        <w:tc>
          <w:tcPr>
            <w:tcW w:w="47" w:type="pct"/>
            <w:shd w:val="clear" w:color="auto" w:fill="FFFFFF"/>
            <w:noWrap/>
            <w:tcMar>
              <w:top w:w="15" w:type="dxa"/>
              <w:left w:w="0" w:type="dxa"/>
              <w:bottom w:w="0" w:type="dxa"/>
              <w:right w:w="15" w:type="dxa"/>
            </w:tcMar>
            <w:vAlign w:val="bottom"/>
          </w:tcPr>
          <w:p w14:paraId="482F8669" w14:textId="77777777" w:rsidR="009A5AEC" w:rsidRDefault="00000000">
            <w:pPr>
              <w:pStyle w:val="Normal0"/>
              <w:rPr>
                <w:color w:val="000000"/>
                <w:sz w:val="20"/>
              </w:rPr>
            </w:pPr>
            <w:r>
              <w:rPr>
                <w:color w:val="000000"/>
                <w:sz w:val="20"/>
              </w:rPr>
              <w:t xml:space="preserve"> </w:t>
            </w:r>
          </w:p>
        </w:tc>
      </w:tr>
      <w:tr w:rsidR="003116D1" w14:paraId="256B573C" w14:textId="77777777" w:rsidTr="003D325E">
        <w:trPr>
          <w:cantSplit/>
          <w:jc w:val="center"/>
        </w:trPr>
        <w:tc>
          <w:tcPr>
            <w:tcW w:w="3047" w:type="pct"/>
            <w:shd w:val="clear" w:color="auto" w:fill="FFFFFF"/>
            <w:tcMar>
              <w:top w:w="15" w:type="dxa"/>
              <w:left w:w="0" w:type="dxa"/>
              <w:bottom w:w="0" w:type="dxa"/>
              <w:right w:w="15" w:type="dxa"/>
            </w:tcMar>
            <w:vAlign w:val="bottom"/>
          </w:tcPr>
          <w:p w14:paraId="6ECBB968" w14:textId="77777777" w:rsidR="009A5AEC" w:rsidRDefault="00000000">
            <w:pPr>
              <w:pStyle w:val="Normal0"/>
              <w:keepNext/>
              <w:rPr>
                <w:color w:val="000000"/>
                <w:sz w:val="20"/>
              </w:rPr>
            </w:pPr>
            <w:r>
              <w:rPr>
                <w:color w:val="000000"/>
                <w:sz w:val="20"/>
              </w:rPr>
              <w:t xml:space="preserve"> Adjusted EBITDA</w:t>
            </w:r>
          </w:p>
        </w:tc>
        <w:tc>
          <w:tcPr>
            <w:tcW w:w="83" w:type="pct"/>
            <w:shd w:val="clear" w:color="auto" w:fill="FFFFFF"/>
            <w:tcMar>
              <w:top w:w="15" w:type="dxa"/>
              <w:left w:w="0" w:type="dxa"/>
              <w:bottom w:w="0" w:type="dxa"/>
              <w:right w:w="15" w:type="dxa"/>
            </w:tcMar>
            <w:vAlign w:val="bottom"/>
          </w:tcPr>
          <w:p w14:paraId="1894C8E3" w14:textId="77777777" w:rsidR="009A5AEC" w:rsidRDefault="00000000">
            <w:pPr>
              <w:pStyle w:val="Normal0"/>
              <w:rPr>
                <w:color w:val="000000"/>
                <w:sz w:val="20"/>
              </w:rPr>
            </w:pPr>
            <w:r>
              <w:rPr>
                <w:color w:val="000000"/>
                <w:sz w:val="20"/>
              </w:rPr>
              <w:t xml:space="preserve"> </w:t>
            </w:r>
          </w:p>
        </w:tc>
        <w:tc>
          <w:tcPr>
            <w:tcW w:w="61"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1EEB7AEB" w14:textId="77777777" w:rsidR="009A5AEC" w:rsidRDefault="00000000">
            <w:pPr>
              <w:pStyle w:val="Normal0"/>
              <w:rPr>
                <w:color w:val="000000"/>
                <w:sz w:val="20"/>
              </w:rPr>
            </w:pPr>
            <w:r>
              <w:rPr>
                <w:color w:val="000000"/>
                <w:sz w:val="20"/>
              </w:rPr>
              <w:t>$</w:t>
            </w:r>
          </w:p>
        </w:tc>
        <w:tc>
          <w:tcPr>
            <w:tcW w:w="784"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4AD743AA" w14:textId="77777777" w:rsidR="009A5AEC" w:rsidRDefault="00000000">
            <w:pPr>
              <w:pStyle w:val="Normal0"/>
              <w:jc w:val="right"/>
              <w:rPr>
                <w:color w:val="000000"/>
                <w:sz w:val="20"/>
              </w:rPr>
            </w:pPr>
            <w:r>
              <w:rPr>
                <w:color w:val="000000"/>
                <w:sz w:val="20"/>
              </w:rPr>
              <w:t>1,929</w:t>
            </w:r>
          </w:p>
        </w:tc>
        <w:tc>
          <w:tcPr>
            <w:tcW w:w="47" w:type="pct"/>
            <w:shd w:val="clear" w:color="auto" w:fill="FFFFFF"/>
            <w:noWrap/>
            <w:tcMar>
              <w:top w:w="15" w:type="dxa"/>
              <w:left w:w="0" w:type="dxa"/>
              <w:bottom w:w="0" w:type="dxa"/>
              <w:right w:w="15" w:type="dxa"/>
            </w:tcMar>
            <w:vAlign w:val="bottom"/>
          </w:tcPr>
          <w:p w14:paraId="3F4BB6BC"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56AE2C4D" w14:textId="77777777" w:rsidR="009A5AEC" w:rsidRDefault="00000000">
            <w:pPr>
              <w:pStyle w:val="Normal0"/>
              <w:rPr>
                <w:color w:val="000000"/>
                <w:sz w:val="20"/>
              </w:rPr>
            </w:pPr>
            <w:r>
              <w:rPr>
                <w:color w:val="000000"/>
                <w:sz w:val="20"/>
              </w:rPr>
              <w:t xml:space="preserve"> </w:t>
            </w:r>
          </w:p>
        </w:tc>
        <w:tc>
          <w:tcPr>
            <w:tcW w:w="61"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72E6764A" w14:textId="77777777" w:rsidR="009A5AEC" w:rsidRDefault="00000000">
            <w:pPr>
              <w:pStyle w:val="Normal0"/>
              <w:rPr>
                <w:color w:val="000000"/>
                <w:sz w:val="20"/>
              </w:rPr>
            </w:pPr>
            <w:r>
              <w:rPr>
                <w:color w:val="000000"/>
                <w:sz w:val="20"/>
              </w:rPr>
              <w:t>$</w:t>
            </w:r>
          </w:p>
        </w:tc>
        <w:tc>
          <w:tcPr>
            <w:tcW w:w="785"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0E54D971" w14:textId="77777777" w:rsidR="009A5AEC" w:rsidRDefault="00000000">
            <w:pPr>
              <w:pStyle w:val="Normal0"/>
              <w:jc w:val="right"/>
              <w:rPr>
                <w:color w:val="000000"/>
                <w:sz w:val="20"/>
              </w:rPr>
            </w:pPr>
            <w:r>
              <w:rPr>
                <w:color w:val="000000"/>
                <w:sz w:val="20"/>
              </w:rPr>
              <w:t>1,683</w:t>
            </w:r>
          </w:p>
        </w:tc>
        <w:tc>
          <w:tcPr>
            <w:tcW w:w="47" w:type="pct"/>
            <w:shd w:val="clear" w:color="auto" w:fill="FFFFFF"/>
            <w:noWrap/>
            <w:tcMar>
              <w:top w:w="15" w:type="dxa"/>
              <w:left w:w="0" w:type="dxa"/>
              <w:bottom w:w="0" w:type="dxa"/>
              <w:right w:w="15" w:type="dxa"/>
            </w:tcMar>
            <w:vAlign w:val="bottom"/>
          </w:tcPr>
          <w:p w14:paraId="68266E88" w14:textId="77777777" w:rsidR="009A5AEC" w:rsidRDefault="00000000">
            <w:pPr>
              <w:pStyle w:val="Normal0"/>
              <w:rPr>
                <w:color w:val="000000"/>
                <w:sz w:val="20"/>
              </w:rPr>
            </w:pPr>
            <w:r>
              <w:rPr>
                <w:color w:val="000000"/>
                <w:sz w:val="20"/>
              </w:rPr>
              <w:t xml:space="preserve"> </w:t>
            </w:r>
          </w:p>
        </w:tc>
      </w:tr>
      <w:tr w:rsidR="003116D1" w14:paraId="4CB8FAAE" w14:textId="77777777" w:rsidTr="003D325E">
        <w:trPr>
          <w:cantSplit/>
          <w:jc w:val="center"/>
        </w:trPr>
        <w:tc>
          <w:tcPr>
            <w:tcW w:w="3047" w:type="pct"/>
            <w:shd w:val="clear" w:color="auto" w:fill="FFFFFF"/>
            <w:tcMar>
              <w:top w:w="15" w:type="dxa"/>
              <w:left w:w="0" w:type="dxa"/>
              <w:bottom w:w="0" w:type="dxa"/>
              <w:right w:w="15" w:type="dxa"/>
            </w:tcMar>
            <w:vAlign w:val="bottom"/>
          </w:tcPr>
          <w:p w14:paraId="21FE6DFE" w14:textId="77777777" w:rsidR="009A5AEC" w:rsidRDefault="00000000">
            <w:pPr>
              <w:pStyle w:val="Normal0"/>
              <w:keepNext/>
              <w:ind w:left="274"/>
              <w:rPr>
                <w:color w:val="000000"/>
                <w:sz w:val="20"/>
              </w:rPr>
            </w:pPr>
            <w:r>
              <w:rPr>
                <w:color w:val="000000"/>
                <w:sz w:val="20"/>
              </w:rPr>
              <w:t xml:space="preserve"> </w:t>
            </w:r>
          </w:p>
        </w:tc>
        <w:tc>
          <w:tcPr>
            <w:tcW w:w="83" w:type="pct"/>
            <w:shd w:val="clear" w:color="auto" w:fill="FFFFFF"/>
            <w:tcMar>
              <w:top w:w="15" w:type="dxa"/>
              <w:left w:w="0" w:type="dxa"/>
              <w:bottom w:w="0" w:type="dxa"/>
              <w:right w:w="15" w:type="dxa"/>
            </w:tcMar>
            <w:vAlign w:val="bottom"/>
          </w:tcPr>
          <w:p w14:paraId="38CE70E8" w14:textId="77777777" w:rsidR="009A5AEC" w:rsidRDefault="00000000">
            <w:pPr>
              <w:pStyle w:val="Normal0"/>
              <w:rPr>
                <w:color w:val="000000"/>
                <w:sz w:val="20"/>
              </w:rPr>
            </w:pPr>
            <w:r>
              <w:rPr>
                <w:color w:val="000000"/>
                <w:sz w:val="20"/>
              </w:rPr>
              <w:t xml:space="preserve"> </w:t>
            </w:r>
          </w:p>
        </w:tc>
        <w:tc>
          <w:tcPr>
            <w:tcW w:w="61" w:type="pct"/>
            <w:tcBorders>
              <w:top w:val="double" w:sz="6" w:space="0" w:color="000000"/>
            </w:tcBorders>
            <w:shd w:val="clear" w:color="auto" w:fill="FFFFFF"/>
            <w:noWrap/>
            <w:tcMar>
              <w:top w:w="15" w:type="dxa"/>
              <w:left w:w="0" w:type="dxa"/>
              <w:bottom w:w="0" w:type="dxa"/>
              <w:right w:w="15" w:type="dxa"/>
            </w:tcMar>
            <w:vAlign w:val="bottom"/>
          </w:tcPr>
          <w:p w14:paraId="62CE40A2" w14:textId="77777777" w:rsidR="009A5AEC" w:rsidRDefault="00000000">
            <w:pPr>
              <w:pStyle w:val="Normal0"/>
              <w:rPr>
                <w:color w:val="000000"/>
                <w:sz w:val="20"/>
              </w:rPr>
            </w:pPr>
            <w:r>
              <w:rPr>
                <w:color w:val="000000"/>
                <w:sz w:val="20"/>
              </w:rPr>
              <w:t xml:space="preserve"> </w:t>
            </w:r>
          </w:p>
        </w:tc>
        <w:tc>
          <w:tcPr>
            <w:tcW w:w="784" w:type="pct"/>
            <w:tcBorders>
              <w:top w:val="double" w:sz="6" w:space="0" w:color="000000"/>
            </w:tcBorders>
            <w:shd w:val="clear" w:color="auto" w:fill="FFFFFF"/>
            <w:noWrap/>
            <w:tcMar>
              <w:top w:w="15" w:type="dxa"/>
              <w:left w:w="0" w:type="dxa"/>
              <w:bottom w:w="0" w:type="dxa"/>
              <w:right w:w="15" w:type="dxa"/>
            </w:tcMar>
            <w:vAlign w:val="bottom"/>
          </w:tcPr>
          <w:p w14:paraId="1D926437" w14:textId="77777777" w:rsidR="009A5AEC" w:rsidRDefault="00000000">
            <w:pPr>
              <w:pStyle w:val="Normal0"/>
              <w:rPr>
                <w:color w:val="000000"/>
                <w:sz w:val="20"/>
              </w:rPr>
            </w:pPr>
            <w:r>
              <w:rPr>
                <w:color w:val="000000"/>
                <w:sz w:val="20"/>
              </w:rPr>
              <w:t xml:space="preserve"> </w:t>
            </w:r>
          </w:p>
        </w:tc>
        <w:tc>
          <w:tcPr>
            <w:tcW w:w="47" w:type="pct"/>
            <w:shd w:val="clear" w:color="auto" w:fill="FFFFFF"/>
            <w:noWrap/>
            <w:tcMar>
              <w:top w:w="15" w:type="dxa"/>
              <w:left w:w="0" w:type="dxa"/>
              <w:bottom w:w="0" w:type="dxa"/>
              <w:right w:w="15" w:type="dxa"/>
            </w:tcMar>
            <w:vAlign w:val="bottom"/>
          </w:tcPr>
          <w:p w14:paraId="141B51E6"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772195B4" w14:textId="77777777" w:rsidR="009A5AEC" w:rsidRDefault="00000000">
            <w:pPr>
              <w:pStyle w:val="Normal0"/>
              <w:rPr>
                <w:color w:val="000000"/>
                <w:sz w:val="20"/>
              </w:rPr>
            </w:pPr>
            <w:r>
              <w:rPr>
                <w:color w:val="000000"/>
                <w:sz w:val="20"/>
              </w:rPr>
              <w:t xml:space="preserve"> </w:t>
            </w:r>
          </w:p>
        </w:tc>
        <w:tc>
          <w:tcPr>
            <w:tcW w:w="61" w:type="pct"/>
            <w:tcBorders>
              <w:top w:val="double" w:sz="6" w:space="0" w:color="000000"/>
            </w:tcBorders>
            <w:shd w:val="clear" w:color="auto" w:fill="FFFFFF"/>
            <w:noWrap/>
            <w:tcMar>
              <w:top w:w="15" w:type="dxa"/>
              <w:left w:w="0" w:type="dxa"/>
              <w:bottom w:w="0" w:type="dxa"/>
              <w:right w:w="15" w:type="dxa"/>
            </w:tcMar>
            <w:vAlign w:val="bottom"/>
          </w:tcPr>
          <w:p w14:paraId="5E792096" w14:textId="77777777" w:rsidR="009A5AEC" w:rsidRDefault="00000000">
            <w:pPr>
              <w:pStyle w:val="Normal0"/>
              <w:rPr>
                <w:color w:val="000000"/>
                <w:sz w:val="20"/>
              </w:rPr>
            </w:pPr>
            <w:r>
              <w:rPr>
                <w:color w:val="000000"/>
                <w:sz w:val="20"/>
              </w:rPr>
              <w:t xml:space="preserve"> </w:t>
            </w:r>
          </w:p>
        </w:tc>
        <w:tc>
          <w:tcPr>
            <w:tcW w:w="785" w:type="pct"/>
            <w:tcBorders>
              <w:top w:val="double" w:sz="6" w:space="0" w:color="000000"/>
            </w:tcBorders>
            <w:shd w:val="clear" w:color="auto" w:fill="FFFFFF"/>
            <w:noWrap/>
            <w:tcMar>
              <w:top w:w="15" w:type="dxa"/>
              <w:left w:w="0" w:type="dxa"/>
              <w:bottom w:w="0" w:type="dxa"/>
              <w:right w:w="15" w:type="dxa"/>
            </w:tcMar>
            <w:vAlign w:val="bottom"/>
          </w:tcPr>
          <w:p w14:paraId="67E4009E" w14:textId="77777777" w:rsidR="009A5AEC" w:rsidRDefault="00000000">
            <w:pPr>
              <w:pStyle w:val="Normal0"/>
              <w:rPr>
                <w:color w:val="000000"/>
                <w:sz w:val="20"/>
              </w:rPr>
            </w:pPr>
            <w:r>
              <w:rPr>
                <w:color w:val="000000"/>
                <w:sz w:val="20"/>
              </w:rPr>
              <w:t xml:space="preserve"> </w:t>
            </w:r>
          </w:p>
        </w:tc>
        <w:tc>
          <w:tcPr>
            <w:tcW w:w="47" w:type="pct"/>
            <w:shd w:val="clear" w:color="auto" w:fill="FFFFFF"/>
            <w:noWrap/>
            <w:tcMar>
              <w:top w:w="15" w:type="dxa"/>
              <w:left w:w="0" w:type="dxa"/>
              <w:bottom w:w="0" w:type="dxa"/>
              <w:right w:w="15" w:type="dxa"/>
            </w:tcMar>
            <w:vAlign w:val="bottom"/>
          </w:tcPr>
          <w:p w14:paraId="30F89D58" w14:textId="77777777" w:rsidR="009A5AEC" w:rsidRDefault="00000000">
            <w:pPr>
              <w:pStyle w:val="Normal0"/>
              <w:rPr>
                <w:color w:val="000000"/>
                <w:sz w:val="20"/>
              </w:rPr>
            </w:pPr>
            <w:r>
              <w:rPr>
                <w:color w:val="000000"/>
                <w:sz w:val="20"/>
              </w:rPr>
              <w:t xml:space="preserve"> </w:t>
            </w:r>
          </w:p>
        </w:tc>
      </w:tr>
      <w:tr w:rsidR="003116D1" w14:paraId="20DB2764" w14:textId="77777777" w:rsidTr="003D325E">
        <w:trPr>
          <w:cantSplit/>
          <w:jc w:val="center"/>
        </w:trPr>
        <w:tc>
          <w:tcPr>
            <w:tcW w:w="3047" w:type="pct"/>
            <w:shd w:val="clear" w:color="auto" w:fill="FFFFFF"/>
            <w:tcMar>
              <w:top w:w="15" w:type="dxa"/>
              <w:left w:w="0" w:type="dxa"/>
              <w:bottom w:w="0" w:type="dxa"/>
              <w:right w:w="15" w:type="dxa"/>
            </w:tcMar>
            <w:vAlign w:val="bottom"/>
          </w:tcPr>
          <w:p w14:paraId="6F75CA83" w14:textId="77777777" w:rsidR="009A5AEC" w:rsidRDefault="00000000">
            <w:pPr>
              <w:pStyle w:val="Normal0"/>
              <w:keepNext/>
              <w:rPr>
                <w:color w:val="000000"/>
                <w:sz w:val="20"/>
              </w:rPr>
            </w:pPr>
            <w:r>
              <w:rPr>
                <w:color w:val="000000"/>
                <w:sz w:val="20"/>
              </w:rPr>
              <w:t xml:space="preserve"> Basic per share information:</w:t>
            </w:r>
          </w:p>
        </w:tc>
        <w:tc>
          <w:tcPr>
            <w:tcW w:w="83" w:type="pct"/>
            <w:shd w:val="clear" w:color="auto" w:fill="FFFFFF"/>
            <w:tcMar>
              <w:top w:w="15" w:type="dxa"/>
              <w:left w:w="0" w:type="dxa"/>
              <w:bottom w:w="0" w:type="dxa"/>
              <w:right w:w="15" w:type="dxa"/>
            </w:tcMar>
            <w:vAlign w:val="bottom"/>
          </w:tcPr>
          <w:p w14:paraId="14E6F39C" w14:textId="77777777" w:rsidR="009A5AEC" w:rsidRDefault="00000000">
            <w:pPr>
              <w:pStyle w:val="Normal0"/>
              <w:rPr>
                <w:color w:val="000000"/>
                <w:sz w:val="20"/>
              </w:rPr>
            </w:pPr>
            <w:r>
              <w:rPr>
                <w:color w:val="000000"/>
                <w:sz w:val="20"/>
              </w:rPr>
              <w:t xml:space="preserve"> </w:t>
            </w:r>
          </w:p>
        </w:tc>
        <w:tc>
          <w:tcPr>
            <w:tcW w:w="61" w:type="pct"/>
            <w:shd w:val="clear" w:color="auto" w:fill="FFFFFF"/>
            <w:noWrap/>
            <w:tcMar>
              <w:top w:w="15" w:type="dxa"/>
              <w:left w:w="0" w:type="dxa"/>
              <w:bottom w:w="0" w:type="dxa"/>
              <w:right w:w="15" w:type="dxa"/>
            </w:tcMar>
            <w:vAlign w:val="bottom"/>
          </w:tcPr>
          <w:p w14:paraId="7B1C706D" w14:textId="77777777" w:rsidR="009A5AEC" w:rsidRDefault="00000000">
            <w:pPr>
              <w:pStyle w:val="Normal0"/>
              <w:rPr>
                <w:color w:val="000000"/>
                <w:sz w:val="20"/>
              </w:rPr>
            </w:pPr>
            <w:r>
              <w:rPr>
                <w:color w:val="000000"/>
                <w:sz w:val="20"/>
              </w:rPr>
              <w:t xml:space="preserve"> </w:t>
            </w:r>
          </w:p>
        </w:tc>
        <w:tc>
          <w:tcPr>
            <w:tcW w:w="784" w:type="pct"/>
            <w:shd w:val="clear" w:color="auto" w:fill="FFFFFF"/>
            <w:noWrap/>
            <w:tcMar>
              <w:top w:w="15" w:type="dxa"/>
              <w:left w:w="0" w:type="dxa"/>
              <w:bottom w:w="0" w:type="dxa"/>
              <w:right w:w="15" w:type="dxa"/>
            </w:tcMar>
            <w:vAlign w:val="bottom"/>
          </w:tcPr>
          <w:p w14:paraId="0D11EDC0" w14:textId="77777777" w:rsidR="009A5AEC" w:rsidRDefault="00000000">
            <w:pPr>
              <w:pStyle w:val="Normal0"/>
              <w:rPr>
                <w:color w:val="000000"/>
                <w:sz w:val="20"/>
              </w:rPr>
            </w:pPr>
            <w:r>
              <w:rPr>
                <w:color w:val="000000"/>
                <w:sz w:val="20"/>
              </w:rPr>
              <w:t xml:space="preserve"> </w:t>
            </w:r>
          </w:p>
        </w:tc>
        <w:tc>
          <w:tcPr>
            <w:tcW w:w="47" w:type="pct"/>
            <w:shd w:val="clear" w:color="auto" w:fill="FFFFFF"/>
            <w:noWrap/>
            <w:tcMar>
              <w:top w:w="15" w:type="dxa"/>
              <w:left w:w="0" w:type="dxa"/>
              <w:bottom w:w="0" w:type="dxa"/>
              <w:right w:w="15" w:type="dxa"/>
            </w:tcMar>
            <w:vAlign w:val="bottom"/>
          </w:tcPr>
          <w:p w14:paraId="03DAA4D0"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75F16CAB" w14:textId="77777777" w:rsidR="009A5AEC" w:rsidRDefault="00000000">
            <w:pPr>
              <w:pStyle w:val="Normal0"/>
              <w:rPr>
                <w:color w:val="000000"/>
                <w:sz w:val="20"/>
              </w:rPr>
            </w:pPr>
            <w:r>
              <w:rPr>
                <w:color w:val="000000"/>
                <w:sz w:val="20"/>
              </w:rPr>
              <w:t xml:space="preserve"> </w:t>
            </w:r>
          </w:p>
        </w:tc>
        <w:tc>
          <w:tcPr>
            <w:tcW w:w="61" w:type="pct"/>
            <w:shd w:val="clear" w:color="auto" w:fill="FFFFFF"/>
            <w:noWrap/>
            <w:tcMar>
              <w:top w:w="15" w:type="dxa"/>
              <w:left w:w="0" w:type="dxa"/>
              <w:bottom w:w="0" w:type="dxa"/>
              <w:right w:w="15" w:type="dxa"/>
            </w:tcMar>
            <w:vAlign w:val="bottom"/>
          </w:tcPr>
          <w:p w14:paraId="49E2C34C" w14:textId="77777777" w:rsidR="009A5AEC" w:rsidRDefault="00000000">
            <w:pPr>
              <w:pStyle w:val="Normal0"/>
              <w:rPr>
                <w:color w:val="000000"/>
                <w:sz w:val="20"/>
              </w:rPr>
            </w:pPr>
            <w:r>
              <w:rPr>
                <w:color w:val="000000"/>
                <w:sz w:val="20"/>
              </w:rPr>
              <w:t xml:space="preserve"> </w:t>
            </w:r>
          </w:p>
        </w:tc>
        <w:tc>
          <w:tcPr>
            <w:tcW w:w="785" w:type="pct"/>
            <w:shd w:val="clear" w:color="auto" w:fill="FFFFFF"/>
            <w:noWrap/>
            <w:tcMar>
              <w:top w:w="15" w:type="dxa"/>
              <w:left w:w="0" w:type="dxa"/>
              <w:bottom w:w="0" w:type="dxa"/>
              <w:right w:w="15" w:type="dxa"/>
            </w:tcMar>
            <w:vAlign w:val="bottom"/>
          </w:tcPr>
          <w:p w14:paraId="1B6B1919" w14:textId="77777777" w:rsidR="009A5AEC" w:rsidRDefault="00000000">
            <w:pPr>
              <w:pStyle w:val="Normal0"/>
              <w:rPr>
                <w:color w:val="000000"/>
                <w:sz w:val="20"/>
              </w:rPr>
            </w:pPr>
            <w:r>
              <w:rPr>
                <w:color w:val="000000"/>
                <w:sz w:val="20"/>
              </w:rPr>
              <w:t xml:space="preserve"> </w:t>
            </w:r>
          </w:p>
        </w:tc>
        <w:tc>
          <w:tcPr>
            <w:tcW w:w="47" w:type="pct"/>
            <w:shd w:val="clear" w:color="auto" w:fill="FFFFFF"/>
            <w:noWrap/>
            <w:tcMar>
              <w:top w:w="15" w:type="dxa"/>
              <w:left w:w="0" w:type="dxa"/>
              <w:bottom w:w="0" w:type="dxa"/>
              <w:right w:w="15" w:type="dxa"/>
            </w:tcMar>
            <w:vAlign w:val="bottom"/>
          </w:tcPr>
          <w:p w14:paraId="76AE896E" w14:textId="77777777" w:rsidR="009A5AEC" w:rsidRDefault="00000000">
            <w:pPr>
              <w:pStyle w:val="Normal0"/>
              <w:rPr>
                <w:color w:val="000000"/>
                <w:sz w:val="20"/>
              </w:rPr>
            </w:pPr>
            <w:r>
              <w:rPr>
                <w:color w:val="000000"/>
                <w:sz w:val="20"/>
              </w:rPr>
              <w:t xml:space="preserve"> </w:t>
            </w:r>
          </w:p>
        </w:tc>
      </w:tr>
      <w:tr w:rsidR="003116D1" w14:paraId="2D253D00" w14:textId="77777777" w:rsidTr="003D325E">
        <w:trPr>
          <w:cantSplit/>
          <w:jc w:val="center"/>
        </w:trPr>
        <w:tc>
          <w:tcPr>
            <w:tcW w:w="3047" w:type="pct"/>
            <w:shd w:val="clear" w:color="auto" w:fill="FFFFFF"/>
            <w:tcMar>
              <w:top w:w="15" w:type="dxa"/>
              <w:left w:w="0" w:type="dxa"/>
              <w:bottom w:w="0" w:type="dxa"/>
              <w:right w:w="15" w:type="dxa"/>
            </w:tcMar>
            <w:vAlign w:val="bottom"/>
          </w:tcPr>
          <w:p w14:paraId="1282E67F" w14:textId="77777777" w:rsidR="009A5AEC" w:rsidRDefault="00000000">
            <w:pPr>
              <w:pStyle w:val="Normal0"/>
              <w:keepNext/>
              <w:ind w:left="274"/>
              <w:rPr>
                <w:color w:val="000000"/>
                <w:sz w:val="20"/>
              </w:rPr>
            </w:pPr>
            <w:r>
              <w:rPr>
                <w:color w:val="000000"/>
                <w:sz w:val="20"/>
              </w:rPr>
              <w:t xml:space="preserve"> Weighted average shares outstanding</w:t>
            </w:r>
          </w:p>
        </w:tc>
        <w:tc>
          <w:tcPr>
            <w:tcW w:w="83" w:type="pct"/>
            <w:shd w:val="clear" w:color="auto" w:fill="FFFFFF"/>
            <w:tcMar>
              <w:top w:w="15" w:type="dxa"/>
              <w:left w:w="0" w:type="dxa"/>
              <w:bottom w:w="0" w:type="dxa"/>
              <w:right w:w="15" w:type="dxa"/>
            </w:tcMar>
            <w:vAlign w:val="bottom"/>
          </w:tcPr>
          <w:p w14:paraId="42D14E55" w14:textId="77777777" w:rsidR="009A5AEC" w:rsidRDefault="00000000">
            <w:pPr>
              <w:pStyle w:val="Normal0"/>
              <w:rPr>
                <w:color w:val="000000"/>
                <w:sz w:val="20"/>
              </w:rPr>
            </w:pPr>
            <w:r>
              <w:rPr>
                <w:color w:val="000000"/>
                <w:sz w:val="20"/>
              </w:rPr>
              <w:t xml:space="preserve"> </w:t>
            </w:r>
          </w:p>
        </w:tc>
        <w:tc>
          <w:tcPr>
            <w:tcW w:w="61" w:type="pct"/>
            <w:tcBorders>
              <w:bottom w:val="double" w:sz="6" w:space="0" w:color="000000"/>
            </w:tcBorders>
            <w:shd w:val="clear" w:color="auto" w:fill="FFFFFF"/>
            <w:noWrap/>
            <w:tcMar>
              <w:top w:w="15" w:type="dxa"/>
              <w:left w:w="0" w:type="dxa"/>
              <w:bottom w:w="0" w:type="dxa"/>
              <w:right w:w="15" w:type="dxa"/>
            </w:tcMar>
            <w:vAlign w:val="bottom"/>
          </w:tcPr>
          <w:p w14:paraId="72B6F58F" w14:textId="77777777" w:rsidR="009A5AEC" w:rsidRDefault="00000000">
            <w:pPr>
              <w:pStyle w:val="Normal0"/>
              <w:rPr>
                <w:color w:val="000000"/>
                <w:sz w:val="20"/>
              </w:rPr>
            </w:pPr>
            <w:r>
              <w:rPr>
                <w:color w:val="000000"/>
                <w:sz w:val="20"/>
              </w:rPr>
              <w:t xml:space="preserve"> </w:t>
            </w:r>
          </w:p>
        </w:tc>
        <w:tc>
          <w:tcPr>
            <w:tcW w:w="784" w:type="pct"/>
            <w:tcBorders>
              <w:bottom w:val="double" w:sz="6" w:space="0" w:color="000000"/>
            </w:tcBorders>
            <w:shd w:val="clear" w:color="auto" w:fill="FFFFFF"/>
            <w:noWrap/>
            <w:tcMar>
              <w:top w:w="15" w:type="dxa"/>
              <w:left w:w="0" w:type="dxa"/>
              <w:bottom w:w="0" w:type="dxa"/>
              <w:right w:w="15" w:type="dxa"/>
            </w:tcMar>
            <w:vAlign w:val="bottom"/>
          </w:tcPr>
          <w:p w14:paraId="6FF75141" w14:textId="77777777" w:rsidR="009A5AEC" w:rsidRDefault="00000000">
            <w:pPr>
              <w:pStyle w:val="Normal0"/>
              <w:jc w:val="right"/>
              <w:rPr>
                <w:color w:val="000000"/>
                <w:sz w:val="20"/>
              </w:rPr>
            </w:pPr>
            <w:r>
              <w:rPr>
                <w:color w:val="000000"/>
                <w:sz w:val="20"/>
              </w:rPr>
              <w:t>5,334,774</w:t>
            </w:r>
          </w:p>
        </w:tc>
        <w:tc>
          <w:tcPr>
            <w:tcW w:w="47" w:type="pct"/>
            <w:shd w:val="clear" w:color="auto" w:fill="FFFFFF"/>
            <w:noWrap/>
            <w:tcMar>
              <w:top w:w="15" w:type="dxa"/>
              <w:left w:w="0" w:type="dxa"/>
              <w:bottom w:w="0" w:type="dxa"/>
              <w:right w:w="15" w:type="dxa"/>
            </w:tcMar>
            <w:vAlign w:val="bottom"/>
          </w:tcPr>
          <w:p w14:paraId="7DF51070"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3D849332" w14:textId="77777777" w:rsidR="009A5AEC" w:rsidRDefault="00000000">
            <w:pPr>
              <w:pStyle w:val="Normal0"/>
              <w:rPr>
                <w:color w:val="000000"/>
                <w:sz w:val="20"/>
              </w:rPr>
            </w:pPr>
            <w:r>
              <w:rPr>
                <w:color w:val="000000"/>
                <w:sz w:val="20"/>
              </w:rPr>
              <w:t xml:space="preserve"> </w:t>
            </w:r>
          </w:p>
        </w:tc>
        <w:tc>
          <w:tcPr>
            <w:tcW w:w="61" w:type="pct"/>
            <w:tcBorders>
              <w:bottom w:val="double" w:sz="6" w:space="0" w:color="000000"/>
            </w:tcBorders>
            <w:shd w:val="clear" w:color="auto" w:fill="FFFFFF"/>
            <w:noWrap/>
            <w:tcMar>
              <w:top w:w="15" w:type="dxa"/>
              <w:left w:w="0" w:type="dxa"/>
              <w:bottom w:w="0" w:type="dxa"/>
              <w:right w:w="15" w:type="dxa"/>
            </w:tcMar>
            <w:vAlign w:val="bottom"/>
          </w:tcPr>
          <w:p w14:paraId="220FBE68" w14:textId="77777777" w:rsidR="009A5AEC" w:rsidRDefault="00000000">
            <w:pPr>
              <w:pStyle w:val="Normal0"/>
              <w:rPr>
                <w:color w:val="000000"/>
                <w:sz w:val="20"/>
              </w:rPr>
            </w:pPr>
            <w:r>
              <w:rPr>
                <w:color w:val="000000"/>
                <w:sz w:val="20"/>
              </w:rPr>
              <w:t xml:space="preserve"> </w:t>
            </w:r>
          </w:p>
        </w:tc>
        <w:tc>
          <w:tcPr>
            <w:tcW w:w="785" w:type="pct"/>
            <w:tcBorders>
              <w:bottom w:val="double" w:sz="6" w:space="0" w:color="000000"/>
            </w:tcBorders>
            <w:shd w:val="clear" w:color="auto" w:fill="FFFFFF"/>
            <w:noWrap/>
            <w:tcMar>
              <w:top w:w="15" w:type="dxa"/>
              <w:left w:w="0" w:type="dxa"/>
              <w:bottom w:w="0" w:type="dxa"/>
              <w:right w:w="15" w:type="dxa"/>
            </w:tcMar>
            <w:vAlign w:val="bottom"/>
          </w:tcPr>
          <w:p w14:paraId="51085C12" w14:textId="77777777" w:rsidR="009A5AEC" w:rsidRDefault="00000000">
            <w:pPr>
              <w:pStyle w:val="Normal0"/>
              <w:jc w:val="right"/>
              <w:rPr>
                <w:color w:val="000000"/>
                <w:sz w:val="20"/>
              </w:rPr>
            </w:pPr>
            <w:r>
              <w:rPr>
                <w:color w:val="000000"/>
                <w:sz w:val="20"/>
              </w:rPr>
              <w:t>5,273,263</w:t>
            </w:r>
          </w:p>
        </w:tc>
        <w:tc>
          <w:tcPr>
            <w:tcW w:w="47" w:type="pct"/>
            <w:shd w:val="clear" w:color="auto" w:fill="FFFFFF"/>
            <w:noWrap/>
            <w:tcMar>
              <w:top w:w="15" w:type="dxa"/>
              <w:left w:w="0" w:type="dxa"/>
              <w:bottom w:w="0" w:type="dxa"/>
              <w:right w:w="15" w:type="dxa"/>
            </w:tcMar>
            <w:vAlign w:val="bottom"/>
          </w:tcPr>
          <w:p w14:paraId="48C0F289" w14:textId="77777777" w:rsidR="009A5AEC" w:rsidRDefault="00000000">
            <w:pPr>
              <w:pStyle w:val="Normal0"/>
              <w:rPr>
                <w:color w:val="000000"/>
                <w:sz w:val="20"/>
              </w:rPr>
            </w:pPr>
            <w:r>
              <w:rPr>
                <w:color w:val="000000"/>
                <w:sz w:val="20"/>
              </w:rPr>
              <w:t xml:space="preserve"> </w:t>
            </w:r>
          </w:p>
        </w:tc>
      </w:tr>
      <w:tr w:rsidR="003116D1" w14:paraId="5437959F" w14:textId="77777777" w:rsidTr="003D325E">
        <w:trPr>
          <w:cantSplit/>
          <w:jc w:val="center"/>
        </w:trPr>
        <w:tc>
          <w:tcPr>
            <w:tcW w:w="3047" w:type="pct"/>
            <w:shd w:val="clear" w:color="auto" w:fill="FFFFFF"/>
            <w:tcMar>
              <w:top w:w="15" w:type="dxa"/>
              <w:left w:w="0" w:type="dxa"/>
              <w:bottom w:w="0" w:type="dxa"/>
              <w:right w:w="15" w:type="dxa"/>
            </w:tcMar>
            <w:vAlign w:val="bottom"/>
          </w:tcPr>
          <w:p w14:paraId="08A1EA91" w14:textId="77777777" w:rsidR="009A5AEC" w:rsidRDefault="00000000">
            <w:pPr>
              <w:pStyle w:val="Normal0"/>
              <w:keepNext/>
              <w:ind w:left="274"/>
              <w:rPr>
                <w:color w:val="000000"/>
                <w:sz w:val="20"/>
              </w:rPr>
            </w:pPr>
            <w:r>
              <w:rPr>
                <w:color w:val="000000"/>
                <w:sz w:val="20"/>
              </w:rPr>
              <w:t xml:space="preserve"> Adjusted EBITDA per share</w:t>
            </w:r>
          </w:p>
        </w:tc>
        <w:tc>
          <w:tcPr>
            <w:tcW w:w="83" w:type="pct"/>
            <w:shd w:val="clear" w:color="auto" w:fill="FFFFFF"/>
            <w:tcMar>
              <w:top w:w="15" w:type="dxa"/>
              <w:left w:w="0" w:type="dxa"/>
              <w:bottom w:w="0" w:type="dxa"/>
              <w:right w:w="15" w:type="dxa"/>
            </w:tcMar>
            <w:vAlign w:val="bottom"/>
          </w:tcPr>
          <w:p w14:paraId="46B06DAE" w14:textId="77777777" w:rsidR="009A5AEC" w:rsidRDefault="00000000">
            <w:pPr>
              <w:pStyle w:val="Normal0"/>
              <w:rPr>
                <w:color w:val="000000"/>
                <w:sz w:val="20"/>
              </w:rPr>
            </w:pPr>
            <w:r>
              <w:rPr>
                <w:color w:val="000000"/>
                <w:sz w:val="20"/>
              </w:rPr>
              <w:t xml:space="preserve"> </w:t>
            </w:r>
          </w:p>
        </w:tc>
        <w:tc>
          <w:tcPr>
            <w:tcW w:w="61"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796C7E1B" w14:textId="77777777" w:rsidR="009A5AEC" w:rsidRDefault="00000000">
            <w:pPr>
              <w:pStyle w:val="Normal0"/>
              <w:rPr>
                <w:color w:val="000000"/>
                <w:sz w:val="20"/>
              </w:rPr>
            </w:pPr>
            <w:r>
              <w:rPr>
                <w:color w:val="000000"/>
                <w:sz w:val="20"/>
              </w:rPr>
              <w:t>$</w:t>
            </w:r>
          </w:p>
        </w:tc>
        <w:tc>
          <w:tcPr>
            <w:tcW w:w="784"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522EC01A" w14:textId="77777777" w:rsidR="009A5AEC" w:rsidRDefault="00000000">
            <w:pPr>
              <w:pStyle w:val="Normal0"/>
              <w:jc w:val="right"/>
              <w:rPr>
                <w:color w:val="000000"/>
                <w:sz w:val="20"/>
              </w:rPr>
            </w:pPr>
            <w:r>
              <w:rPr>
                <w:color w:val="000000"/>
                <w:sz w:val="20"/>
              </w:rPr>
              <w:t>0.36</w:t>
            </w:r>
          </w:p>
        </w:tc>
        <w:tc>
          <w:tcPr>
            <w:tcW w:w="47" w:type="pct"/>
            <w:shd w:val="clear" w:color="auto" w:fill="FFFFFF"/>
            <w:noWrap/>
            <w:tcMar>
              <w:top w:w="15" w:type="dxa"/>
              <w:left w:w="0" w:type="dxa"/>
              <w:bottom w:w="0" w:type="dxa"/>
              <w:right w:w="15" w:type="dxa"/>
            </w:tcMar>
            <w:vAlign w:val="bottom"/>
          </w:tcPr>
          <w:p w14:paraId="668C8DAB"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3923CC5D" w14:textId="77777777" w:rsidR="009A5AEC" w:rsidRDefault="00000000">
            <w:pPr>
              <w:pStyle w:val="Normal0"/>
              <w:rPr>
                <w:color w:val="000000"/>
                <w:sz w:val="20"/>
              </w:rPr>
            </w:pPr>
            <w:r>
              <w:rPr>
                <w:color w:val="000000"/>
                <w:sz w:val="20"/>
              </w:rPr>
              <w:t xml:space="preserve"> </w:t>
            </w:r>
          </w:p>
        </w:tc>
        <w:tc>
          <w:tcPr>
            <w:tcW w:w="61"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2D63CD33" w14:textId="77777777" w:rsidR="009A5AEC" w:rsidRDefault="00000000">
            <w:pPr>
              <w:pStyle w:val="Normal0"/>
              <w:rPr>
                <w:color w:val="000000"/>
                <w:sz w:val="20"/>
              </w:rPr>
            </w:pPr>
            <w:r>
              <w:rPr>
                <w:color w:val="000000"/>
                <w:sz w:val="20"/>
              </w:rPr>
              <w:t>$</w:t>
            </w:r>
          </w:p>
        </w:tc>
        <w:tc>
          <w:tcPr>
            <w:tcW w:w="78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68C3E6F4" w14:textId="77777777" w:rsidR="009A5AEC" w:rsidRDefault="00000000">
            <w:pPr>
              <w:pStyle w:val="Normal0"/>
              <w:jc w:val="right"/>
              <w:rPr>
                <w:color w:val="000000"/>
                <w:sz w:val="20"/>
              </w:rPr>
            </w:pPr>
            <w:r>
              <w:rPr>
                <w:color w:val="000000"/>
                <w:sz w:val="20"/>
              </w:rPr>
              <w:t>0.32</w:t>
            </w:r>
          </w:p>
        </w:tc>
        <w:tc>
          <w:tcPr>
            <w:tcW w:w="47" w:type="pct"/>
            <w:shd w:val="clear" w:color="auto" w:fill="FFFFFF"/>
            <w:noWrap/>
            <w:tcMar>
              <w:top w:w="15" w:type="dxa"/>
              <w:left w:w="0" w:type="dxa"/>
              <w:bottom w:w="0" w:type="dxa"/>
              <w:right w:w="15" w:type="dxa"/>
            </w:tcMar>
            <w:vAlign w:val="bottom"/>
          </w:tcPr>
          <w:p w14:paraId="3E801F25" w14:textId="77777777" w:rsidR="009A5AEC" w:rsidRDefault="00000000">
            <w:pPr>
              <w:pStyle w:val="Normal0"/>
              <w:rPr>
                <w:color w:val="000000"/>
                <w:sz w:val="20"/>
              </w:rPr>
            </w:pPr>
            <w:r>
              <w:rPr>
                <w:color w:val="000000"/>
                <w:sz w:val="20"/>
              </w:rPr>
              <w:t xml:space="preserve"> </w:t>
            </w:r>
          </w:p>
        </w:tc>
      </w:tr>
      <w:tr w:rsidR="003116D1" w14:paraId="7E0215D6" w14:textId="77777777" w:rsidTr="003D325E">
        <w:trPr>
          <w:cantSplit/>
          <w:jc w:val="center"/>
        </w:trPr>
        <w:tc>
          <w:tcPr>
            <w:tcW w:w="3047" w:type="pct"/>
            <w:shd w:val="clear" w:color="auto" w:fill="FFFFFF"/>
            <w:tcMar>
              <w:top w:w="15" w:type="dxa"/>
              <w:left w:w="0" w:type="dxa"/>
              <w:bottom w:w="0" w:type="dxa"/>
              <w:right w:w="15" w:type="dxa"/>
            </w:tcMar>
            <w:vAlign w:val="bottom"/>
          </w:tcPr>
          <w:p w14:paraId="7373E407" w14:textId="77777777" w:rsidR="009A5AEC" w:rsidRDefault="00000000">
            <w:pPr>
              <w:pStyle w:val="Normal0"/>
              <w:keepNext/>
              <w:ind w:left="274"/>
              <w:rPr>
                <w:color w:val="000000"/>
                <w:sz w:val="20"/>
              </w:rPr>
            </w:pPr>
            <w:r>
              <w:rPr>
                <w:color w:val="000000"/>
                <w:sz w:val="20"/>
              </w:rPr>
              <w:t xml:space="preserve"> </w:t>
            </w:r>
          </w:p>
        </w:tc>
        <w:tc>
          <w:tcPr>
            <w:tcW w:w="83" w:type="pct"/>
            <w:shd w:val="clear" w:color="auto" w:fill="FFFFFF"/>
            <w:tcMar>
              <w:top w:w="15" w:type="dxa"/>
              <w:left w:w="0" w:type="dxa"/>
              <w:bottom w:w="0" w:type="dxa"/>
              <w:right w:w="15" w:type="dxa"/>
            </w:tcMar>
            <w:vAlign w:val="bottom"/>
          </w:tcPr>
          <w:p w14:paraId="3FFFD6A1" w14:textId="77777777" w:rsidR="009A5AEC" w:rsidRDefault="00000000">
            <w:pPr>
              <w:pStyle w:val="Normal0"/>
              <w:rPr>
                <w:color w:val="000000"/>
                <w:sz w:val="20"/>
              </w:rPr>
            </w:pPr>
            <w:r>
              <w:rPr>
                <w:color w:val="000000"/>
                <w:sz w:val="20"/>
              </w:rPr>
              <w:t xml:space="preserve"> </w:t>
            </w:r>
          </w:p>
        </w:tc>
        <w:tc>
          <w:tcPr>
            <w:tcW w:w="61" w:type="pct"/>
            <w:tcBorders>
              <w:top w:val="double" w:sz="6" w:space="0" w:color="000000"/>
            </w:tcBorders>
            <w:shd w:val="clear" w:color="auto" w:fill="FFFFFF"/>
            <w:noWrap/>
            <w:tcMar>
              <w:top w:w="15" w:type="dxa"/>
              <w:left w:w="0" w:type="dxa"/>
              <w:bottom w:w="0" w:type="dxa"/>
              <w:right w:w="15" w:type="dxa"/>
            </w:tcMar>
            <w:vAlign w:val="bottom"/>
          </w:tcPr>
          <w:p w14:paraId="54D9C284" w14:textId="77777777" w:rsidR="009A5AEC" w:rsidRDefault="00000000">
            <w:pPr>
              <w:pStyle w:val="Normal0"/>
              <w:rPr>
                <w:color w:val="000000"/>
                <w:sz w:val="20"/>
              </w:rPr>
            </w:pPr>
            <w:r>
              <w:rPr>
                <w:color w:val="000000"/>
                <w:sz w:val="20"/>
              </w:rPr>
              <w:t xml:space="preserve"> </w:t>
            </w:r>
          </w:p>
        </w:tc>
        <w:tc>
          <w:tcPr>
            <w:tcW w:w="784" w:type="pct"/>
            <w:tcBorders>
              <w:top w:val="double" w:sz="6" w:space="0" w:color="000000"/>
            </w:tcBorders>
            <w:shd w:val="clear" w:color="auto" w:fill="FFFFFF"/>
            <w:noWrap/>
            <w:tcMar>
              <w:top w:w="15" w:type="dxa"/>
              <w:left w:w="0" w:type="dxa"/>
              <w:bottom w:w="0" w:type="dxa"/>
              <w:right w:w="15" w:type="dxa"/>
            </w:tcMar>
            <w:vAlign w:val="bottom"/>
          </w:tcPr>
          <w:p w14:paraId="41082E99" w14:textId="77777777" w:rsidR="009A5AEC" w:rsidRDefault="00000000">
            <w:pPr>
              <w:pStyle w:val="Normal0"/>
              <w:rPr>
                <w:color w:val="000000"/>
                <w:sz w:val="20"/>
              </w:rPr>
            </w:pPr>
            <w:r>
              <w:rPr>
                <w:color w:val="000000"/>
                <w:sz w:val="20"/>
              </w:rPr>
              <w:t xml:space="preserve"> </w:t>
            </w:r>
          </w:p>
        </w:tc>
        <w:tc>
          <w:tcPr>
            <w:tcW w:w="47" w:type="pct"/>
            <w:shd w:val="clear" w:color="auto" w:fill="FFFFFF"/>
            <w:noWrap/>
            <w:tcMar>
              <w:top w:w="15" w:type="dxa"/>
              <w:left w:w="0" w:type="dxa"/>
              <w:bottom w:w="0" w:type="dxa"/>
              <w:right w:w="15" w:type="dxa"/>
            </w:tcMar>
            <w:vAlign w:val="bottom"/>
          </w:tcPr>
          <w:p w14:paraId="71F08BF4"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343610D1" w14:textId="77777777" w:rsidR="009A5AEC" w:rsidRDefault="00000000">
            <w:pPr>
              <w:pStyle w:val="Normal0"/>
              <w:rPr>
                <w:color w:val="000000"/>
                <w:sz w:val="20"/>
              </w:rPr>
            </w:pPr>
            <w:r>
              <w:rPr>
                <w:color w:val="000000"/>
                <w:sz w:val="20"/>
              </w:rPr>
              <w:t xml:space="preserve"> </w:t>
            </w:r>
          </w:p>
        </w:tc>
        <w:tc>
          <w:tcPr>
            <w:tcW w:w="61" w:type="pct"/>
            <w:tcBorders>
              <w:top w:val="double" w:sz="6" w:space="0" w:color="000000"/>
            </w:tcBorders>
            <w:shd w:val="clear" w:color="auto" w:fill="FFFFFF"/>
            <w:noWrap/>
            <w:tcMar>
              <w:top w:w="15" w:type="dxa"/>
              <w:left w:w="0" w:type="dxa"/>
              <w:bottom w:w="0" w:type="dxa"/>
              <w:right w:w="15" w:type="dxa"/>
            </w:tcMar>
            <w:vAlign w:val="bottom"/>
          </w:tcPr>
          <w:p w14:paraId="19300176" w14:textId="77777777" w:rsidR="009A5AEC" w:rsidRDefault="00000000">
            <w:pPr>
              <w:pStyle w:val="Normal0"/>
              <w:rPr>
                <w:color w:val="000000"/>
                <w:sz w:val="20"/>
              </w:rPr>
            </w:pPr>
            <w:r>
              <w:rPr>
                <w:color w:val="000000"/>
                <w:sz w:val="20"/>
              </w:rPr>
              <w:t xml:space="preserve"> </w:t>
            </w:r>
          </w:p>
        </w:tc>
        <w:tc>
          <w:tcPr>
            <w:tcW w:w="785" w:type="pct"/>
            <w:tcBorders>
              <w:top w:val="double" w:sz="6" w:space="0" w:color="000000"/>
            </w:tcBorders>
            <w:shd w:val="clear" w:color="auto" w:fill="FFFFFF"/>
            <w:noWrap/>
            <w:tcMar>
              <w:top w:w="15" w:type="dxa"/>
              <w:left w:w="0" w:type="dxa"/>
              <w:bottom w:w="0" w:type="dxa"/>
              <w:right w:w="15" w:type="dxa"/>
            </w:tcMar>
            <w:vAlign w:val="bottom"/>
          </w:tcPr>
          <w:p w14:paraId="61B4D60B" w14:textId="77777777" w:rsidR="009A5AEC" w:rsidRDefault="00000000">
            <w:pPr>
              <w:pStyle w:val="Normal0"/>
              <w:rPr>
                <w:color w:val="000000"/>
                <w:sz w:val="20"/>
              </w:rPr>
            </w:pPr>
            <w:r>
              <w:rPr>
                <w:color w:val="000000"/>
                <w:sz w:val="20"/>
              </w:rPr>
              <w:t xml:space="preserve"> </w:t>
            </w:r>
          </w:p>
        </w:tc>
        <w:tc>
          <w:tcPr>
            <w:tcW w:w="47" w:type="pct"/>
            <w:shd w:val="clear" w:color="auto" w:fill="FFFFFF"/>
            <w:noWrap/>
            <w:tcMar>
              <w:top w:w="15" w:type="dxa"/>
              <w:left w:w="0" w:type="dxa"/>
              <w:bottom w:w="0" w:type="dxa"/>
              <w:right w:w="15" w:type="dxa"/>
            </w:tcMar>
            <w:vAlign w:val="bottom"/>
          </w:tcPr>
          <w:p w14:paraId="71845D74" w14:textId="77777777" w:rsidR="009A5AEC" w:rsidRDefault="00000000">
            <w:pPr>
              <w:pStyle w:val="Normal0"/>
              <w:rPr>
                <w:color w:val="000000"/>
                <w:sz w:val="20"/>
              </w:rPr>
            </w:pPr>
            <w:r>
              <w:rPr>
                <w:color w:val="000000"/>
                <w:sz w:val="20"/>
              </w:rPr>
              <w:t xml:space="preserve"> </w:t>
            </w:r>
          </w:p>
        </w:tc>
      </w:tr>
      <w:tr w:rsidR="003116D1" w14:paraId="41448ABF" w14:textId="77777777" w:rsidTr="003D325E">
        <w:trPr>
          <w:cantSplit/>
          <w:jc w:val="center"/>
        </w:trPr>
        <w:tc>
          <w:tcPr>
            <w:tcW w:w="3047" w:type="pct"/>
            <w:shd w:val="clear" w:color="auto" w:fill="FFFFFF"/>
            <w:tcMar>
              <w:top w:w="15" w:type="dxa"/>
              <w:left w:w="0" w:type="dxa"/>
              <w:bottom w:w="0" w:type="dxa"/>
              <w:right w:w="15" w:type="dxa"/>
            </w:tcMar>
            <w:vAlign w:val="bottom"/>
          </w:tcPr>
          <w:p w14:paraId="310CA5C2" w14:textId="77777777" w:rsidR="009A5AEC" w:rsidRDefault="00000000">
            <w:pPr>
              <w:pStyle w:val="Normal0"/>
              <w:keepNext/>
              <w:rPr>
                <w:color w:val="000000"/>
                <w:sz w:val="20"/>
              </w:rPr>
            </w:pPr>
            <w:r>
              <w:rPr>
                <w:color w:val="000000"/>
                <w:sz w:val="20"/>
              </w:rPr>
              <w:t xml:space="preserve"> Diluted per share information:</w:t>
            </w:r>
          </w:p>
        </w:tc>
        <w:tc>
          <w:tcPr>
            <w:tcW w:w="83" w:type="pct"/>
            <w:shd w:val="clear" w:color="auto" w:fill="FFFFFF"/>
            <w:tcMar>
              <w:top w:w="15" w:type="dxa"/>
              <w:left w:w="0" w:type="dxa"/>
              <w:bottom w:w="0" w:type="dxa"/>
              <w:right w:w="15" w:type="dxa"/>
            </w:tcMar>
            <w:vAlign w:val="bottom"/>
          </w:tcPr>
          <w:p w14:paraId="4D3FD66C" w14:textId="77777777" w:rsidR="009A5AEC" w:rsidRDefault="00000000">
            <w:pPr>
              <w:pStyle w:val="Normal0"/>
              <w:rPr>
                <w:color w:val="000000"/>
                <w:sz w:val="20"/>
              </w:rPr>
            </w:pPr>
            <w:r>
              <w:rPr>
                <w:color w:val="000000"/>
                <w:sz w:val="20"/>
              </w:rPr>
              <w:t xml:space="preserve"> </w:t>
            </w:r>
          </w:p>
        </w:tc>
        <w:tc>
          <w:tcPr>
            <w:tcW w:w="61" w:type="pct"/>
            <w:shd w:val="clear" w:color="auto" w:fill="FFFFFF"/>
            <w:noWrap/>
            <w:tcMar>
              <w:top w:w="15" w:type="dxa"/>
              <w:left w:w="0" w:type="dxa"/>
              <w:bottom w:w="0" w:type="dxa"/>
              <w:right w:w="15" w:type="dxa"/>
            </w:tcMar>
            <w:vAlign w:val="bottom"/>
          </w:tcPr>
          <w:p w14:paraId="2511C9FF" w14:textId="77777777" w:rsidR="009A5AEC" w:rsidRDefault="00000000">
            <w:pPr>
              <w:pStyle w:val="Normal0"/>
              <w:rPr>
                <w:color w:val="000000"/>
                <w:sz w:val="20"/>
              </w:rPr>
            </w:pPr>
            <w:r>
              <w:rPr>
                <w:color w:val="000000"/>
                <w:sz w:val="20"/>
              </w:rPr>
              <w:t xml:space="preserve"> </w:t>
            </w:r>
          </w:p>
        </w:tc>
        <w:tc>
          <w:tcPr>
            <w:tcW w:w="784" w:type="pct"/>
            <w:shd w:val="clear" w:color="auto" w:fill="FFFFFF"/>
            <w:noWrap/>
            <w:tcMar>
              <w:top w:w="15" w:type="dxa"/>
              <w:left w:w="0" w:type="dxa"/>
              <w:bottom w:w="0" w:type="dxa"/>
              <w:right w:w="15" w:type="dxa"/>
            </w:tcMar>
            <w:vAlign w:val="bottom"/>
          </w:tcPr>
          <w:p w14:paraId="367F1088" w14:textId="77777777" w:rsidR="009A5AEC" w:rsidRDefault="00000000">
            <w:pPr>
              <w:pStyle w:val="Normal0"/>
              <w:rPr>
                <w:color w:val="000000"/>
                <w:sz w:val="20"/>
              </w:rPr>
            </w:pPr>
            <w:r>
              <w:rPr>
                <w:color w:val="000000"/>
                <w:sz w:val="20"/>
              </w:rPr>
              <w:t xml:space="preserve"> </w:t>
            </w:r>
          </w:p>
        </w:tc>
        <w:tc>
          <w:tcPr>
            <w:tcW w:w="47" w:type="pct"/>
            <w:shd w:val="clear" w:color="auto" w:fill="FFFFFF"/>
            <w:noWrap/>
            <w:tcMar>
              <w:top w:w="15" w:type="dxa"/>
              <w:left w:w="0" w:type="dxa"/>
              <w:bottom w:w="0" w:type="dxa"/>
              <w:right w:w="15" w:type="dxa"/>
            </w:tcMar>
            <w:vAlign w:val="bottom"/>
          </w:tcPr>
          <w:p w14:paraId="43AA0387"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6C562EE0" w14:textId="77777777" w:rsidR="009A5AEC" w:rsidRDefault="00000000">
            <w:pPr>
              <w:pStyle w:val="Normal0"/>
              <w:rPr>
                <w:color w:val="000000"/>
                <w:sz w:val="20"/>
              </w:rPr>
            </w:pPr>
            <w:r>
              <w:rPr>
                <w:color w:val="000000"/>
                <w:sz w:val="20"/>
              </w:rPr>
              <w:t xml:space="preserve"> </w:t>
            </w:r>
          </w:p>
        </w:tc>
        <w:tc>
          <w:tcPr>
            <w:tcW w:w="61" w:type="pct"/>
            <w:shd w:val="clear" w:color="auto" w:fill="FFFFFF"/>
            <w:noWrap/>
            <w:tcMar>
              <w:top w:w="15" w:type="dxa"/>
              <w:left w:w="0" w:type="dxa"/>
              <w:bottom w:w="0" w:type="dxa"/>
              <w:right w:w="15" w:type="dxa"/>
            </w:tcMar>
            <w:vAlign w:val="bottom"/>
          </w:tcPr>
          <w:p w14:paraId="4151499A" w14:textId="77777777" w:rsidR="009A5AEC" w:rsidRDefault="00000000">
            <w:pPr>
              <w:pStyle w:val="Normal0"/>
              <w:rPr>
                <w:color w:val="000000"/>
                <w:sz w:val="20"/>
              </w:rPr>
            </w:pPr>
            <w:r>
              <w:rPr>
                <w:color w:val="000000"/>
                <w:sz w:val="20"/>
              </w:rPr>
              <w:t xml:space="preserve"> </w:t>
            </w:r>
          </w:p>
        </w:tc>
        <w:tc>
          <w:tcPr>
            <w:tcW w:w="785" w:type="pct"/>
            <w:shd w:val="clear" w:color="auto" w:fill="FFFFFF"/>
            <w:noWrap/>
            <w:tcMar>
              <w:top w:w="15" w:type="dxa"/>
              <w:left w:w="0" w:type="dxa"/>
              <w:bottom w:w="0" w:type="dxa"/>
              <w:right w:w="15" w:type="dxa"/>
            </w:tcMar>
            <w:vAlign w:val="bottom"/>
          </w:tcPr>
          <w:p w14:paraId="66816718" w14:textId="77777777" w:rsidR="009A5AEC" w:rsidRDefault="00000000">
            <w:pPr>
              <w:pStyle w:val="Normal0"/>
              <w:rPr>
                <w:color w:val="000000"/>
                <w:sz w:val="20"/>
              </w:rPr>
            </w:pPr>
            <w:r>
              <w:rPr>
                <w:color w:val="000000"/>
                <w:sz w:val="20"/>
              </w:rPr>
              <w:t xml:space="preserve"> </w:t>
            </w:r>
          </w:p>
        </w:tc>
        <w:tc>
          <w:tcPr>
            <w:tcW w:w="47" w:type="pct"/>
            <w:shd w:val="clear" w:color="auto" w:fill="FFFFFF"/>
            <w:noWrap/>
            <w:tcMar>
              <w:top w:w="15" w:type="dxa"/>
              <w:left w:w="0" w:type="dxa"/>
              <w:bottom w:w="0" w:type="dxa"/>
              <w:right w:w="15" w:type="dxa"/>
            </w:tcMar>
            <w:vAlign w:val="bottom"/>
          </w:tcPr>
          <w:p w14:paraId="0D5CEEDF" w14:textId="77777777" w:rsidR="009A5AEC" w:rsidRDefault="00000000">
            <w:pPr>
              <w:pStyle w:val="Normal0"/>
              <w:rPr>
                <w:color w:val="000000"/>
                <w:sz w:val="20"/>
              </w:rPr>
            </w:pPr>
            <w:r>
              <w:rPr>
                <w:color w:val="000000"/>
                <w:sz w:val="20"/>
              </w:rPr>
              <w:t xml:space="preserve"> </w:t>
            </w:r>
          </w:p>
        </w:tc>
      </w:tr>
      <w:tr w:rsidR="003116D1" w14:paraId="0F92CD7B" w14:textId="77777777" w:rsidTr="003D325E">
        <w:trPr>
          <w:cantSplit/>
          <w:jc w:val="center"/>
        </w:trPr>
        <w:tc>
          <w:tcPr>
            <w:tcW w:w="3047" w:type="pct"/>
            <w:shd w:val="clear" w:color="auto" w:fill="FFFFFF"/>
            <w:tcMar>
              <w:top w:w="15" w:type="dxa"/>
              <w:left w:w="0" w:type="dxa"/>
              <w:bottom w:w="0" w:type="dxa"/>
              <w:right w:w="15" w:type="dxa"/>
            </w:tcMar>
            <w:vAlign w:val="bottom"/>
          </w:tcPr>
          <w:p w14:paraId="7D8BA1E4" w14:textId="77777777" w:rsidR="009A5AEC" w:rsidRDefault="00000000">
            <w:pPr>
              <w:pStyle w:val="Normal0"/>
              <w:keepNext/>
              <w:ind w:left="274"/>
              <w:rPr>
                <w:color w:val="000000"/>
                <w:sz w:val="20"/>
              </w:rPr>
            </w:pPr>
            <w:r>
              <w:rPr>
                <w:color w:val="000000"/>
                <w:sz w:val="20"/>
              </w:rPr>
              <w:t xml:space="preserve"> Weighted average shares outstanding</w:t>
            </w:r>
          </w:p>
        </w:tc>
        <w:tc>
          <w:tcPr>
            <w:tcW w:w="83" w:type="pct"/>
            <w:shd w:val="clear" w:color="auto" w:fill="FFFFFF"/>
            <w:tcMar>
              <w:top w:w="15" w:type="dxa"/>
              <w:left w:w="0" w:type="dxa"/>
              <w:bottom w:w="0" w:type="dxa"/>
              <w:right w:w="15" w:type="dxa"/>
            </w:tcMar>
            <w:vAlign w:val="bottom"/>
          </w:tcPr>
          <w:p w14:paraId="70CEA63B" w14:textId="77777777" w:rsidR="009A5AEC" w:rsidRDefault="00000000">
            <w:pPr>
              <w:pStyle w:val="Normal0"/>
              <w:rPr>
                <w:color w:val="000000"/>
                <w:sz w:val="20"/>
              </w:rPr>
            </w:pPr>
            <w:r>
              <w:rPr>
                <w:color w:val="000000"/>
                <w:sz w:val="20"/>
              </w:rPr>
              <w:t xml:space="preserve"> </w:t>
            </w:r>
          </w:p>
        </w:tc>
        <w:tc>
          <w:tcPr>
            <w:tcW w:w="61" w:type="pct"/>
            <w:tcBorders>
              <w:bottom w:val="double" w:sz="6" w:space="0" w:color="000000"/>
            </w:tcBorders>
            <w:shd w:val="clear" w:color="auto" w:fill="FFFFFF"/>
            <w:noWrap/>
            <w:tcMar>
              <w:top w:w="15" w:type="dxa"/>
              <w:left w:w="0" w:type="dxa"/>
              <w:bottom w:w="0" w:type="dxa"/>
              <w:right w:w="15" w:type="dxa"/>
            </w:tcMar>
            <w:vAlign w:val="bottom"/>
          </w:tcPr>
          <w:p w14:paraId="42CC0FC2" w14:textId="77777777" w:rsidR="009A5AEC" w:rsidRDefault="00000000">
            <w:pPr>
              <w:pStyle w:val="Normal0"/>
              <w:rPr>
                <w:color w:val="000000"/>
                <w:sz w:val="20"/>
              </w:rPr>
            </w:pPr>
            <w:r>
              <w:rPr>
                <w:color w:val="000000"/>
                <w:sz w:val="20"/>
              </w:rPr>
              <w:t xml:space="preserve"> </w:t>
            </w:r>
          </w:p>
        </w:tc>
        <w:tc>
          <w:tcPr>
            <w:tcW w:w="784" w:type="pct"/>
            <w:tcBorders>
              <w:bottom w:val="double" w:sz="6" w:space="0" w:color="000000"/>
            </w:tcBorders>
            <w:shd w:val="clear" w:color="auto" w:fill="FFFFFF"/>
            <w:noWrap/>
            <w:tcMar>
              <w:top w:w="15" w:type="dxa"/>
              <w:left w:w="0" w:type="dxa"/>
              <w:bottom w:w="0" w:type="dxa"/>
              <w:right w:w="15" w:type="dxa"/>
            </w:tcMar>
            <w:vAlign w:val="bottom"/>
          </w:tcPr>
          <w:p w14:paraId="298555BA" w14:textId="77777777" w:rsidR="009A5AEC" w:rsidRDefault="00000000">
            <w:pPr>
              <w:pStyle w:val="Normal0"/>
              <w:jc w:val="right"/>
              <w:rPr>
                <w:color w:val="000000"/>
                <w:sz w:val="20"/>
              </w:rPr>
            </w:pPr>
            <w:r>
              <w:rPr>
                <w:color w:val="000000"/>
                <w:sz w:val="20"/>
              </w:rPr>
              <w:t>5,334,774</w:t>
            </w:r>
          </w:p>
        </w:tc>
        <w:tc>
          <w:tcPr>
            <w:tcW w:w="47" w:type="pct"/>
            <w:shd w:val="clear" w:color="auto" w:fill="FFFFFF"/>
            <w:noWrap/>
            <w:tcMar>
              <w:top w:w="15" w:type="dxa"/>
              <w:left w:w="0" w:type="dxa"/>
              <w:bottom w:w="0" w:type="dxa"/>
              <w:right w:w="15" w:type="dxa"/>
            </w:tcMar>
            <w:vAlign w:val="bottom"/>
          </w:tcPr>
          <w:p w14:paraId="7B3688A6"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76253E77" w14:textId="77777777" w:rsidR="009A5AEC" w:rsidRDefault="00000000">
            <w:pPr>
              <w:pStyle w:val="Normal0"/>
              <w:rPr>
                <w:color w:val="000000"/>
                <w:sz w:val="20"/>
              </w:rPr>
            </w:pPr>
            <w:r>
              <w:rPr>
                <w:color w:val="000000"/>
                <w:sz w:val="20"/>
              </w:rPr>
              <w:t xml:space="preserve"> </w:t>
            </w:r>
          </w:p>
        </w:tc>
        <w:tc>
          <w:tcPr>
            <w:tcW w:w="61" w:type="pct"/>
            <w:tcBorders>
              <w:bottom w:val="double" w:sz="6" w:space="0" w:color="000000"/>
            </w:tcBorders>
            <w:shd w:val="clear" w:color="auto" w:fill="FFFFFF"/>
            <w:noWrap/>
            <w:tcMar>
              <w:top w:w="15" w:type="dxa"/>
              <w:left w:w="0" w:type="dxa"/>
              <w:bottom w:w="0" w:type="dxa"/>
              <w:right w:w="15" w:type="dxa"/>
            </w:tcMar>
            <w:vAlign w:val="bottom"/>
          </w:tcPr>
          <w:p w14:paraId="0DDA464E" w14:textId="77777777" w:rsidR="009A5AEC" w:rsidRDefault="00000000">
            <w:pPr>
              <w:pStyle w:val="Normal0"/>
              <w:rPr>
                <w:color w:val="000000"/>
                <w:sz w:val="20"/>
              </w:rPr>
            </w:pPr>
            <w:r>
              <w:rPr>
                <w:color w:val="000000"/>
                <w:sz w:val="20"/>
              </w:rPr>
              <w:t xml:space="preserve"> </w:t>
            </w:r>
          </w:p>
        </w:tc>
        <w:tc>
          <w:tcPr>
            <w:tcW w:w="785" w:type="pct"/>
            <w:tcBorders>
              <w:bottom w:val="double" w:sz="6" w:space="0" w:color="000000"/>
            </w:tcBorders>
            <w:shd w:val="clear" w:color="auto" w:fill="FFFFFF"/>
            <w:noWrap/>
            <w:tcMar>
              <w:top w:w="15" w:type="dxa"/>
              <w:left w:w="0" w:type="dxa"/>
              <w:bottom w:w="0" w:type="dxa"/>
              <w:right w:w="15" w:type="dxa"/>
            </w:tcMar>
            <w:vAlign w:val="bottom"/>
          </w:tcPr>
          <w:p w14:paraId="09C7E78B" w14:textId="77777777" w:rsidR="009A5AEC" w:rsidRDefault="00000000">
            <w:pPr>
              <w:pStyle w:val="Normal0"/>
              <w:jc w:val="right"/>
              <w:rPr>
                <w:color w:val="000000"/>
                <w:sz w:val="20"/>
              </w:rPr>
            </w:pPr>
            <w:r>
              <w:rPr>
                <w:color w:val="000000"/>
                <w:sz w:val="20"/>
              </w:rPr>
              <w:t>5,334,534</w:t>
            </w:r>
          </w:p>
        </w:tc>
        <w:tc>
          <w:tcPr>
            <w:tcW w:w="47" w:type="pct"/>
            <w:shd w:val="clear" w:color="auto" w:fill="FFFFFF"/>
            <w:noWrap/>
            <w:tcMar>
              <w:top w:w="15" w:type="dxa"/>
              <w:left w:w="0" w:type="dxa"/>
              <w:bottom w:w="0" w:type="dxa"/>
              <w:right w:w="15" w:type="dxa"/>
            </w:tcMar>
            <w:vAlign w:val="bottom"/>
          </w:tcPr>
          <w:p w14:paraId="550A84BB" w14:textId="77777777" w:rsidR="009A5AEC" w:rsidRDefault="00000000">
            <w:pPr>
              <w:pStyle w:val="Normal0"/>
              <w:rPr>
                <w:color w:val="000000"/>
                <w:sz w:val="20"/>
              </w:rPr>
            </w:pPr>
            <w:r>
              <w:rPr>
                <w:color w:val="000000"/>
                <w:sz w:val="20"/>
              </w:rPr>
              <w:t xml:space="preserve"> </w:t>
            </w:r>
          </w:p>
        </w:tc>
      </w:tr>
      <w:tr w:rsidR="003116D1" w14:paraId="0997E489" w14:textId="77777777" w:rsidTr="003D325E">
        <w:trPr>
          <w:cantSplit/>
          <w:jc w:val="center"/>
        </w:trPr>
        <w:tc>
          <w:tcPr>
            <w:tcW w:w="3047" w:type="pct"/>
            <w:shd w:val="clear" w:color="auto" w:fill="FFFFFF"/>
            <w:tcMar>
              <w:top w:w="15" w:type="dxa"/>
              <w:left w:w="0" w:type="dxa"/>
              <w:bottom w:w="0" w:type="dxa"/>
              <w:right w:w="15" w:type="dxa"/>
            </w:tcMar>
            <w:vAlign w:val="bottom"/>
          </w:tcPr>
          <w:p w14:paraId="0DE1AF78" w14:textId="77777777" w:rsidR="009A5AEC" w:rsidRDefault="00000000">
            <w:pPr>
              <w:pStyle w:val="Normal0"/>
              <w:ind w:left="274"/>
              <w:rPr>
                <w:color w:val="000000"/>
                <w:sz w:val="20"/>
              </w:rPr>
            </w:pPr>
            <w:r>
              <w:rPr>
                <w:color w:val="000000"/>
                <w:sz w:val="20"/>
              </w:rPr>
              <w:t xml:space="preserve"> Adjusted EBITDA per share</w:t>
            </w:r>
          </w:p>
        </w:tc>
        <w:tc>
          <w:tcPr>
            <w:tcW w:w="83" w:type="pct"/>
            <w:shd w:val="clear" w:color="auto" w:fill="FFFFFF"/>
            <w:tcMar>
              <w:top w:w="15" w:type="dxa"/>
              <w:left w:w="0" w:type="dxa"/>
              <w:bottom w:w="0" w:type="dxa"/>
              <w:right w:w="15" w:type="dxa"/>
            </w:tcMar>
            <w:vAlign w:val="bottom"/>
          </w:tcPr>
          <w:p w14:paraId="26154285" w14:textId="77777777" w:rsidR="009A5AEC" w:rsidRDefault="00000000">
            <w:pPr>
              <w:pStyle w:val="Normal0"/>
              <w:rPr>
                <w:color w:val="000000"/>
                <w:sz w:val="20"/>
              </w:rPr>
            </w:pPr>
            <w:r>
              <w:rPr>
                <w:color w:val="000000"/>
                <w:sz w:val="20"/>
              </w:rPr>
              <w:t xml:space="preserve"> </w:t>
            </w:r>
          </w:p>
        </w:tc>
        <w:tc>
          <w:tcPr>
            <w:tcW w:w="61"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18A5BD70" w14:textId="77777777" w:rsidR="009A5AEC" w:rsidRDefault="00000000">
            <w:pPr>
              <w:pStyle w:val="Normal0"/>
              <w:rPr>
                <w:color w:val="000000"/>
                <w:sz w:val="20"/>
              </w:rPr>
            </w:pPr>
            <w:r>
              <w:rPr>
                <w:color w:val="000000"/>
                <w:sz w:val="20"/>
              </w:rPr>
              <w:t>$</w:t>
            </w:r>
          </w:p>
        </w:tc>
        <w:tc>
          <w:tcPr>
            <w:tcW w:w="784"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2961325A" w14:textId="77777777" w:rsidR="009A5AEC" w:rsidRDefault="00000000">
            <w:pPr>
              <w:pStyle w:val="Normal0"/>
              <w:jc w:val="right"/>
              <w:rPr>
                <w:color w:val="000000"/>
                <w:sz w:val="20"/>
              </w:rPr>
            </w:pPr>
            <w:r>
              <w:rPr>
                <w:color w:val="000000"/>
                <w:sz w:val="20"/>
              </w:rPr>
              <w:t>0.36</w:t>
            </w:r>
          </w:p>
        </w:tc>
        <w:tc>
          <w:tcPr>
            <w:tcW w:w="47" w:type="pct"/>
            <w:shd w:val="clear" w:color="auto" w:fill="FFFFFF"/>
            <w:noWrap/>
            <w:tcMar>
              <w:top w:w="15" w:type="dxa"/>
              <w:left w:w="0" w:type="dxa"/>
              <w:bottom w:w="0" w:type="dxa"/>
              <w:right w:w="15" w:type="dxa"/>
            </w:tcMar>
            <w:vAlign w:val="bottom"/>
          </w:tcPr>
          <w:p w14:paraId="10D5772C" w14:textId="77777777" w:rsidR="009A5AEC" w:rsidRDefault="00000000">
            <w:pPr>
              <w:pStyle w:val="Normal0"/>
              <w:rPr>
                <w:color w:val="000000"/>
                <w:sz w:val="20"/>
              </w:rPr>
            </w:pPr>
            <w:r>
              <w:rPr>
                <w:color w:val="000000"/>
                <w:sz w:val="20"/>
              </w:rPr>
              <w:t xml:space="preserve"> </w:t>
            </w:r>
          </w:p>
        </w:tc>
        <w:tc>
          <w:tcPr>
            <w:tcW w:w="84" w:type="pct"/>
            <w:shd w:val="clear" w:color="auto" w:fill="FFFFFF"/>
            <w:tcMar>
              <w:top w:w="15" w:type="dxa"/>
              <w:left w:w="0" w:type="dxa"/>
              <w:bottom w:w="0" w:type="dxa"/>
              <w:right w:w="15" w:type="dxa"/>
            </w:tcMar>
            <w:vAlign w:val="bottom"/>
          </w:tcPr>
          <w:p w14:paraId="6849899B" w14:textId="77777777" w:rsidR="009A5AEC" w:rsidRDefault="00000000">
            <w:pPr>
              <w:pStyle w:val="Normal0"/>
              <w:rPr>
                <w:color w:val="000000"/>
                <w:sz w:val="20"/>
              </w:rPr>
            </w:pPr>
            <w:r>
              <w:rPr>
                <w:color w:val="000000"/>
                <w:sz w:val="20"/>
              </w:rPr>
              <w:t xml:space="preserve"> </w:t>
            </w:r>
          </w:p>
        </w:tc>
        <w:tc>
          <w:tcPr>
            <w:tcW w:w="61"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6830E91B" w14:textId="77777777" w:rsidR="009A5AEC" w:rsidRDefault="00000000">
            <w:pPr>
              <w:pStyle w:val="Normal0"/>
              <w:rPr>
                <w:color w:val="000000"/>
                <w:sz w:val="20"/>
              </w:rPr>
            </w:pPr>
            <w:r>
              <w:rPr>
                <w:color w:val="000000"/>
                <w:sz w:val="20"/>
              </w:rPr>
              <w:t>$</w:t>
            </w:r>
          </w:p>
        </w:tc>
        <w:tc>
          <w:tcPr>
            <w:tcW w:w="78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376B9CEE" w14:textId="77777777" w:rsidR="009A5AEC" w:rsidRDefault="00000000">
            <w:pPr>
              <w:pStyle w:val="Normal0"/>
              <w:jc w:val="right"/>
              <w:rPr>
                <w:color w:val="000000"/>
                <w:sz w:val="20"/>
              </w:rPr>
            </w:pPr>
            <w:r>
              <w:rPr>
                <w:color w:val="000000"/>
                <w:sz w:val="20"/>
              </w:rPr>
              <w:t>0.32</w:t>
            </w:r>
          </w:p>
        </w:tc>
        <w:tc>
          <w:tcPr>
            <w:tcW w:w="47" w:type="pct"/>
            <w:shd w:val="clear" w:color="auto" w:fill="FFFFFF"/>
            <w:noWrap/>
            <w:tcMar>
              <w:top w:w="15" w:type="dxa"/>
              <w:left w:w="0" w:type="dxa"/>
              <w:bottom w:w="0" w:type="dxa"/>
              <w:right w:w="15" w:type="dxa"/>
            </w:tcMar>
            <w:vAlign w:val="bottom"/>
          </w:tcPr>
          <w:p w14:paraId="3670346C" w14:textId="77777777" w:rsidR="009A5AEC" w:rsidRDefault="00000000">
            <w:pPr>
              <w:pStyle w:val="Normal0"/>
              <w:rPr>
                <w:color w:val="000000"/>
                <w:sz w:val="20"/>
              </w:rPr>
            </w:pPr>
            <w:r>
              <w:rPr>
                <w:color w:val="000000"/>
                <w:sz w:val="2"/>
              </w:rPr>
              <w:t xml:space="preserve"> </w:t>
            </w:r>
          </w:p>
        </w:tc>
      </w:tr>
    </w:tbl>
    <w:p w14:paraId="23271252" w14:textId="77777777" w:rsidR="003116D1" w:rsidRDefault="003116D1" w:rsidP="003D340A"/>
    <w:sectPr w:rsidR="003116D1">
      <w:headerReference w:type="even" r:id="rId14"/>
      <w:headerReference w:type="default" r:id="rId15"/>
      <w:footerReference w:type="even" r:id="rId16"/>
      <w:footerReference w:type="default" r:id="rId17"/>
      <w:headerReference w:type="first" r:id="rId18"/>
      <w:footerReference w:type="first" r:id="rId19"/>
      <w:pgSz w:w="12240" w:h="15840"/>
      <w:pgMar w:top="720" w:right="1440" w:bottom="432"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06B70" w14:textId="77777777" w:rsidR="00EE0D0B" w:rsidRDefault="00EE0D0B">
      <w:r>
        <w:separator/>
      </w:r>
    </w:p>
  </w:endnote>
  <w:endnote w:type="continuationSeparator" w:id="0">
    <w:p w14:paraId="7F968944" w14:textId="77777777" w:rsidR="00EE0D0B" w:rsidRDefault="00EE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21AC1" w14:textId="77777777" w:rsidR="003D340A" w:rsidRDefault="003D3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3D688" w14:textId="77777777" w:rsidR="003D340A" w:rsidRDefault="003D3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3854" w14:textId="77777777" w:rsidR="003D340A" w:rsidRDefault="003D3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2DFA9" w14:textId="77777777" w:rsidR="00EE0D0B" w:rsidRDefault="00EE0D0B">
      <w:r>
        <w:separator/>
      </w:r>
    </w:p>
  </w:footnote>
  <w:footnote w:type="continuationSeparator" w:id="0">
    <w:p w14:paraId="15FCC3F5" w14:textId="77777777" w:rsidR="00EE0D0B" w:rsidRDefault="00EE0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7B28" w14:textId="77777777" w:rsidR="003D340A" w:rsidRDefault="003D3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60E0" w14:textId="77777777" w:rsidR="003D340A" w:rsidRPr="003D340A" w:rsidRDefault="003D340A" w:rsidP="003D34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FBBB3" w14:textId="77777777" w:rsidR="004950B6" w:rsidRDefault="00000000" w:rsidP="002C71F6">
    <w:pPr>
      <w:pStyle w:val="Header0"/>
      <w:jc w:val="center"/>
    </w:pPr>
    <w:r>
      <w:rPr>
        <w:noProof/>
      </w:rPr>
      <w:drawing>
        <wp:inline distT="0" distB="0" distL="0" distR="0" wp14:anchorId="0A26730A" wp14:editId="0017F385">
          <wp:extent cx="1065530" cy="795020"/>
          <wp:effectExtent l="0" t="0" r="1270" b="5080"/>
          <wp:docPr id="1" name="Picture 1" descr="logo_vector_tranparent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25560" name="Picture 4" descr="logo_vector_tranparent_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5530" cy="795020"/>
                  </a:xfrm>
                  <a:prstGeom prst="rect">
                    <a:avLst/>
                  </a:prstGeom>
                  <a:noFill/>
                  <a:ln>
                    <a:noFill/>
                  </a:ln>
                </pic:spPr>
              </pic:pic>
            </a:graphicData>
          </a:graphic>
        </wp:inline>
      </w:drawing>
    </w:r>
  </w:p>
  <w:p w14:paraId="179085D7" w14:textId="77777777" w:rsidR="004950B6" w:rsidRDefault="004950B6" w:rsidP="002C71F6">
    <w:pPr>
      <w:pStyle w:val="Head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25E0A88"/>
    <w:lvl w:ilvl="0" w:tplc="8280CC84">
      <w:start w:val="1"/>
      <w:numFmt w:val="bullet"/>
      <w:lvlText w:val=""/>
      <w:lvlJc w:val="left"/>
      <w:pPr>
        <w:ind w:left="720" w:hanging="360"/>
      </w:pPr>
      <w:rPr>
        <w:rFonts w:ascii="Symbol" w:hAnsi="Symbol" w:hint="default"/>
      </w:rPr>
    </w:lvl>
    <w:lvl w:ilvl="1" w:tplc="79FE8A66" w:tentative="1">
      <w:start w:val="1"/>
      <w:numFmt w:val="bullet"/>
      <w:lvlText w:val="o"/>
      <w:lvlJc w:val="left"/>
      <w:pPr>
        <w:ind w:left="1440" w:hanging="360"/>
      </w:pPr>
      <w:rPr>
        <w:rFonts w:ascii="Courier New" w:hAnsi="Courier New" w:cs="Courier New" w:hint="default"/>
      </w:rPr>
    </w:lvl>
    <w:lvl w:ilvl="2" w:tplc="13481582" w:tentative="1">
      <w:start w:val="1"/>
      <w:numFmt w:val="bullet"/>
      <w:lvlText w:val=""/>
      <w:lvlJc w:val="left"/>
      <w:pPr>
        <w:ind w:left="2160" w:hanging="360"/>
      </w:pPr>
      <w:rPr>
        <w:rFonts w:ascii="Wingdings" w:hAnsi="Wingdings" w:hint="default"/>
      </w:rPr>
    </w:lvl>
    <w:lvl w:ilvl="3" w:tplc="94225E6A" w:tentative="1">
      <w:start w:val="1"/>
      <w:numFmt w:val="bullet"/>
      <w:lvlText w:val=""/>
      <w:lvlJc w:val="left"/>
      <w:pPr>
        <w:ind w:left="2880" w:hanging="360"/>
      </w:pPr>
      <w:rPr>
        <w:rFonts w:ascii="Symbol" w:hAnsi="Symbol" w:hint="default"/>
      </w:rPr>
    </w:lvl>
    <w:lvl w:ilvl="4" w:tplc="9C3C3872" w:tentative="1">
      <w:start w:val="1"/>
      <w:numFmt w:val="bullet"/>
      <w:lvlText w:val="o"/>
      <w:lvlJc w:val="left"/>
      <w:pPr>
        <w:ind w:left="3600" w:hanging="360"/>
      </w:pPr>
      <w:rPr>
        <w:rFonts w:ascii="Courier New" w:hAnsi="Courier New" w:cs="Courier New" w:hint="default"/>
      </w:rPr>
    </w:lvl>
    <w:lvl w:ilvl="5" w:tplc="C394BE18" w:tentative="1">
      <w:start w:val="1"/>
      <w:numFmt w:val="bullet"/>
      <w:lvlText w:val=""/>
      <w:lvlJc w:val="left"/>
      <w:pPr>
        <w:ind w:left="4320" w:hanging="360"/>
      </w:pPr>
      <w:rPr>
        <w:rFonts w:ascii="Wingdings" w:hAnsi="Wingdings" w:hint="default"/>
      </w:rPr>
    </w:lvl>
    <w:lvl w:ilvl="6" w:tplc="25741CDA" w:tentative="1">
      <w:start w:val="1"/>
      <w:numFmt w:val="bullet"/>
      <w:lvlText w:val=""/>
      <w:lvlJc w:val="left"/>
      <w:pPr>
        <w:ind w:left="5040" w:hanging="360"/>
      </w:pPr>
      <w:rPr>
        <w:rFonts w:ascii="Symbol" w:hAnsi="Symbol" w:hint="default"/>
      </w:rPr>
    </w:lvl>
    <w:lvl w:ilvl="7" w:tplc="4A9817C2" w:tentative="1">
      <w:start w:val="1"/>
      <w:numFmt w:val="bullet"/>
      <w:lvlText w:val="o"/>
      <w:lvlJc w:val="left"/>
      <w:pPr>
        <w:ind w:left="5760" w:hanging="360"/>
      </w:pPr>
      <w:rPr>
        <w:rFonts w:ascii="Courier New" w:hAnsi="Courier New" w:cs="Courier New" w:hint="default"/>
      </w:rPr>
    </w:lvl>
    <w:lvl w:ilvl="8" w:tplc="CE74E5C4" w:tentative="1">
      <w:start w:val="1"/>
      <w:numFmt w:val="bullet"/>
      <w:lvlText w:val=""/>
      <w:lvlJc w:val="left"/>
      <w:pPr>
        <w:ind w:left="6480" w:hanging="360"/>
      </w:pPr>
      <w:rPr>
        <w:rFonts w:ascii="Wingdings" w:hAnsi="Wingdings" w:hint="default"/>
      </w:rPr>
    </w:lvl>
  </w:abstractNum>
  <w:num w:numId="1" w16cid:durableId="193339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D1"/>
    <w:rsid w:val="00000B37"/>
    <w:rsid w:val="0000168E"/>
    <w:rsid w:val="000172F7"/>
    <w:rsid w:val="00026A78"/>
    <w:rsid w:val="00031E6D"/>
    <w:rsid w:val="00053CF9"/>
    <w:rsid w:val="0006424D"/>
    <w:rsid w:val="000720E1"/>
    <w:rsid w:val="00096D3C"/>
    <w:rsid w:val="000A2BD3"/>
    <w:rsid w:val="000A74B1"/>
    <w:rsid w:val="000D2AD3"/>
    <w:rsid w:val="000E37CC"/>
    <w:rsid w:val="00167BE2"/>
    <w:rsid w:val="001D001F"/>
    <w:rsid w:val="001D1972"/>
    <w:rsid w:val="001F0E14"/>
    <w:rsid w:val="001F1D9D"/>
    <w:rsid w:val="002039AF"/>
    <w:rsid w:val="00226E86"/>
    <w:rsid w:val="00231E8A"/>
    <w:rsid w:val="00252D11"/>
    <w:rsid w:val="00260019"/>
    <w:rsid w:val="00283259"/>
    <w:rsid w:val="002B2597"/>
    <w:rsid w:val="002C6CB2"/>
    <w:rsid w:val="002C71F6"/>
    <w:rsid w:val="002D0610"/>
    <w:rsid w:val="003116D1"/>
    <w:rsid w:val="0031288A"/>
    <w:rsid w:val="00334563"/>
    <w:rsid w:val="00336E1A"/>
    <w:rsid w:val="00350183"/>
    <w:rsid w:val="00365BA3"/>
    <w:rsid w:val="003D340A"/>
    <w:rsid w:val="003D722F"/>
    <w:rsid w:val="003F1BD7"/>
    <w:rsid w:val="00401BB7"/>
    <w:rsid w:val="0041202D"/>
    <w:rsid w:val="00412339"/>
    <w:rsid w:val="00412FC3"/>
    <w:rsid w:val="00414485"/>
    <w:rsid w:val="00416AC2"/>
    <w:rsid w:val="00434B9F"/>
    <w:rsid w:val="00435506"/>
    <w:rsid w:val="004542E4"/>
    <w:rsid w:val="00483B1C"/>
    <w:rsid w:val="004950B6"/>
    <w:rsid w:val="004B3246"/>
    <w:rsid w:val="004C7828"/>
    <w:rsid w:val="004F0D75"/>
    <w:rsid w:val="00515603"/>
    <w:rsid w:val="00517F1B"/>
    <w:rsid w:val="00521A80"/>
    <w:rsid w:val="005262C6"/>
    <w:rsid w:val="00537693"/>
    <w:rsid w:val="005656D7"/>
    <w:rsid w:val="0056580D"/>
    <w:rsid w:val="00565826"/>
    <w:rsid w:val="00570E36"/>
    <w:rsid w:val="00591AE0"/>
    <w:rsid w:val="005B016F"/>
    <w:rsid w:val="005C17F4"/>
    <w:rsid w:val="005D343B"/>
    <w:rsid w:val="005D6518"/>
    <w:rsid w:val="005E1538"/>
    <w:rsid w:val="005E6047"/>
    <w:rsid w:val="005E7620"/>
    <w:rsid w:val="005F0D08"/>
    <w:rsid w:val="00601EBE"/>
    <w:rsid w:val="0063399B"/>
    <w:rsid w:val="00633FAE"/>
    <w:rsid w:val="00634F69"/>
    <w:rsid w:val="00661824"/>
    <w:rsid w:val="0067091B"/>
    <w:rsid w:val="00671372"/>
    <w:rsid w:val="00683988"/>
    <w:rsid w:val="006936F1"/>
    <w:rsid w:val="006A1687"/>
    <w:rsid w:val="006A6ED8"/>
    <w:rsid w:val="006C65C7"/>
    <w:rsid w:val="006F29FF"/>
    <w:rsid w:val="00701DD7"/>
    <w:rsid w:val="00702DAB"/>
    <w:rsid w:val="00711242"/>
    <w:rsid w:val="00733242"/>
    <w:rsid w:val="0074173C"/>
    <w:rsid w:val="0075441E"/>
    <w:rsid w:val="00760E6C"/>
    <w:rsid w:val="00794BAD"/>
    <w:rsid w:val="0081031B"/>
    <w:rsid w:val="0081771C"/>
    <w:rsid w:val="00826EA5"/>
    <w:rsid w:val="00835D99"/>
    <w:rsid w:val="00855430"/>
    <w:rsid w:val="00855C01"/>
    <w:rsid w:val="0087240C"/>
    <w:rsid w:val="008A0FD7"/>
    <w:rsid w:val="008A50FF"/>
    <w:rsid w:val="008C7A81"/>
    <w:rsid w:val="0095399E"/>
    <w:rsid w:val="00956623"/>
    <w:rsid w:val="009A1A48"/>
    <w:rsid w:val="009A34A7"/>
    <w:rsid w:val="009A5AEC"/>
    <w:rsid w:val="009C01CF"/>
    <w:rsid w:val="00A80CFA"/>
    <w:rsid w:val="00AB068D"/>
    <w:rsid w:val="00AB7D73"/>
    <w:rsid w:val="00AD23EA"/>
    <w:rsid w:val="00AE0B7A"/>
    <w:rsid w:val="00AF5AA4"/>
    <w:rsid w:val="00B00880"/>
    <w:rsid w:val="00B07D61"/>
    <w:rsid w:val="00B105C6"/>
    <w:rsid w:val="00B14FEA"/>
    <w:rsid w:val="00B46F0C"/>
    <w:rsid w:val="00B7797F"/>
    <w:rsid w:val="00B91B37"/>
    <w:rsid w:val="00B97914"/>
    <w:rsid w:val="00BC0924"/>
    <w:rsid w:val="00BC1FA7"/>
    <w:rsid w:val="00BD49D8"/>
    <w:rsid w:val="00BE23FA"/>
    <w:rsid w:val="00BE3817"/>
    <w:rsid w:val="00C01574"/>
    <w:rsid w:val="00C0295E"/>
    <w:rsid w:val="00C22A24"/>
    <w:rsid w:val="00C56245"/>
    <w:rsid w:val="00C72598"/>
    <w:rsid w:val="00C85E5B"/>
    <w:rsid w:val="00C91E06"/>
    <w:rsid w:val="00CB44A7"/>
    <w:rsid w:val="00CB5DA5"/>
    <w:rsid w:val="00CC44A9"/>
    <w:rsid w:val="00CC60F8"/>
    <w:rsid w:val="00CE47C9"/>
    <w:rsid w:val="00D023A8"/>
    <w:rsid w:val="00D041AE"/>
    <w:rsid w:val="00D4597B"/>
    <w:rsid w:val="00D51068"/>
    <w:rsid w:val="00D61396"/>
    <w:rsid w:val="00D6141D"/>
    <w:rsid w:val="00D825A4"/>
    <w:rsid w:val="00D97C2B"/>
    <w:rsid w:val="00DA0DE2"/>
    <w:rsid w:val="00DE221F"/>
    <w:rsid w:val="00DE2567"/>
    <w:rsid w:val="00DF1F90"/>
    <w:rsid w:val="00DF4E04"/>
    <w:rsid w:val="00E03DCD"/>
    <w:rsid w:val="00E20805"/>
    <w:rsid w:val="00E46D0E"/>
    <w:rsid w:val="00E52AF8"/>
    <w:rsid w:val="00E97AE3"/>
    <w:rsid w:val="00EA5AA8"/>
    <w:rsid w:val="00EB3B00"/>
    <w:rsid w:val="00EC4F19"/>
    <w:rsid w:val="00ED015D"/>
    <w:rsid w:val="00EE0D0B"/>
    <w:rsid w:val="00EE20C6"/>
    <w:rsid w:val="00EF08B4"/>
    <w:rsid w:val="00EF1256"/>
    <w:rsid w:val="00F04698"/>
    <w:rsid w:val="00F21BE8"/>
    <w:rsid w:val="00F221AF"/>
    <w:rsid w:val="00F747E9"/>
    <w:rsid w:val="00F8653E"/>
    <w:rsid w:val="00FA6DF0"/>
    <w:rsid w:val="00FD3ED3"/>
    <w:rsid w:val="00FD48C3"/>
    <w:rsid w:val="00FE68C6"/>
    <w:rsid w:val="00FF2D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B5943"/>
  <w15:docId w15:val="{F5A7612D-B81D-4494-8633-7F1A407E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Times New Roman" w:eastAsia="Times New Roman" w:hAnsi="Times New Roman" w:cs="Times New Roman"/>
      <w:sz w:val="24"/>
      <w:szCs w:val="24"/>
    </w:rPr>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customStyle="1" w:styleId="CenterBoldHead">
    <w:name w:val="Center Bold Head"/>
    <w:basedOn w:val="Normal"/>
    <w:next w:val="BodyText"/>
    <w:link w:val="CenterBoldHeadChar"/>
    <w:pPr>
      <w:keepNext/>
      <w:keepLines/>
      <w:spacing w:after="240"/>
      <w:jc w:val="center"/>
    </w:pPr>
    <w:rPr>
      <w:b/>
      <w:bCs/>
    </w:rPr>
  </w:style>
  <w:style w:type="paragraph" w:customStyle="1" w:styleId="CenterScoreHead">
    <w:name w:val="Center Score Head"/>
    <w:basedOn w:val="Normal"/>
    <w:next w:val="BodyText"/>
    <w:pPr>
      <w:keepNext/>
      <w:keepLines/>
      <w:spacing w:after="240"/>
      <w:jc w:val="center"/>
    </w:pPr>
    <w:rPr>
      <w:u w:val="single"/>
    </w:rPr>
  </w:style>
  <w:style w:type="paragraph" w:customStyle="1" w:styleId="HangText">
    <w:name w:val="Hang Text"/>
    <w:basedOn w:val="Normal"/>
    <w:next w:val="BodyText"/>
    <w:pPr>
      <w:spacing w:after="240"/>
      <w:ind w:left="720" w:hanging="720"/>
    </w:pPr>
  </w:style>
  <w:style w:type="paragraph" w:customStyle="1" w:styleId="LEFT">
    <w:name w:val="LEFT"/>
    <w:basedOn w:val="Normal"/>
    <w:pPr>
      <w:spacing w:after="240"/>
    </w:p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5753C"/>
    <w:rPr>
      <w:color w:val="0000FF" w:themeColor="hyperlink"/>
      <w:sz w:val="24"/>
      <w:u w:val="single"/>
    </w:rPr>
  </w:style>
  <w:style w:type="character" w:styleId="PlaceholderText">
    <w:name w:val="Placeholder Text"/>
    <w:basedOn w:val="DefaultParagraphFont"/>
    <w:uiPriority w:val="99"/>
    <w:semiHidden/>
    <w:rsid w:val="006C3087"/>
    <w:rPr>
      <w:color w:val="808080"/>
      <w:sz w:val="24"/>
    </w:rPr>
  </w:style>
  <w:style w:type="paragraph" w:styleId="BalloonText">
    <w:name w:val="Balloon Text"/>
    <w:basedOn w:val="Normal"/>
    <w:link w:val="BalloonTextChar"/>
    <w:uiPriority w:val="99"/>
    <w:semiHidden/>
    <w:unhideWhenUsed/>
    <w:rsid w:val="006C3087"/>
    <w:rPr>
      <w:rFonts w:ascii="Tahoma" w:hAnsi="Tahoma" w:cs="Tahoma"/>
      <w:sz w:val="16"/>
      <w:szCs w:val="16"/>
    </w:rPr>
  </w:style>
  <w:style w:type="character" w:customStyle="1" w:styleId="BalloonTextChar">
    <w:name w:val="Balloon Text Char"/>
    <w:basedOn w:val="DefaultParagraphFont"/>
    <w:link w:val="BalloonText"/>
    <w:uiPriority w:val="99"/>
    <w:semiHidden/>
    <w:rsid w:val="006C3087"/>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2D4A42"/>
    <w:rPr>
      <w:color w:val="800080" w:themeColor="followedHyperlink"/>
      <w:sz w:val="24"/>
      <w:u w:val="single"/>
    </w:rPr>
  </w:style>
  <w:style w:type="paragraph" w:customStyle="1" w:styleId="RTagSettings00">
    <w:name w:val="RTagSettings_0_0"/>
    <w:basedOn w:val="CenterBoldHead"/>
    <w:link w:val="RTagSettings00Char"/>
    <w:hidden/>
    <w:rsid w:val="003651E5"/>
    <w:pPr>
      <w:keepNext w:val="0"/>
      <w:keepLines w:val="0"/>
      <w:spacing w:after="0"/>
    </w:pPr>
  </w:style>
  <w:style w:type="character" w:customStyle="1" w:styleId="CenterBoldHeadChar">
    <w:name w:val="Center Bold Head Char"/>
    <w:basedOn w:val="DefaultParagraphFont"/>
    <w:link w:val="CenterBoldHead"/>
    <w:rsid w:val="00650159"/>
    <w:rPr>
      <w:rFonts w:ascii="Times New Roman" w:eastAsia="Times New Roman" w:hAnsi="Times New Roman" w:cs="Times New Roman"/>
      <w:b/>
      <w:bCs/>
      <w:sz w:val="24"/>
      <w:szCs w:val="24"/>
    </w:rPr>
  </w:style>
  <w:style w:type="character" w:customStyle="1" w:styleId="RTagSettings00Char">
    <w:name w:val="RTagSettings_0_0 Char"/>
    <w:basedOn w:val="CenterBoldHeadChar"/>
    <w:link w:val="RTagSettings00"/>
    <w:rsid w:val="003651E5"/>
    <w:rPr>
      <w:rFonts w:ascii="Times New Roman" w:eastAsia="Times New Roman" w:hAnsi="Times New Roman" w:cs="Times New Roman"/>
      <w:b/>
      <w:bCs/>
      <w:sz w:val="24"/>
      <w:szCs w:val="24"/>
    </w:rPr>
  </w:style>
  <w:style w:type="character" w:customStyle="1" w:styleId="rrd-span">
    <w:name w:val="rrd-span"/>
    <w:basedOn w:val="DefaultParagraphFont"/>
    <w:rsid w:val="005E1538"/>
    <w:rPr>
      <w:sz w:val="24"/>
    </w:rPr>
  </w:style>
  <w:style w:type="paragraph" w:customStyle="1" w:styleId="Header0">
    <w:name w:val="Header_0"/>
    <w:basedOn w:val="Normal0"/>
    <w:rsid w:val="00F01AE0"/>
    <w:pPr>
      <w:tabs>
        <w:tab w:val="center" w:pos="4320"/>
        <w:tab w:val="right" w:pos="8640"/>
      </w:tabs>
    </w:pPr>
  </w:style>
  <w:style w:type="paragraph" w:customStyle="1" w:styleId="Normal0">
    <w:name w:val="Normal_0"/>
    <w:qFormat/>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71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BoldHead">
    <w:name w:val="Left Bold Head"/>
    <w:basedOn w:val="Normal0"/>
    <w:next w:val="BodyText0"/>
    <w:qFormat/>
    <w:rsid w:val="005D6518"/>
    <w:pPr>
      <w:keepNext/>
      <w:keepLines/>
      <w:spacing w:after="240"/>
    </w:pPr>
    <w:rPr>
      <w:b/>
      <w:sz w:val="20"/>
      <w:szCs w:val="20"/>
    </w:rPr>
  </w:style>
  <w:style w:type="paragraph" w:customStyle="1" w:styleId="BodyText0">
    <w:name w:val="Body Text_0"/>
    <w:basedOn w:val="Normal0"/>
    <w:link w:val="BodyTextChar0"/>
    <w:rsid w:val="005F0D08"/>
    <w:pPr>
      <w:spacing w:after="120"/>
    </w:pPr>
  </w:style>
  <w:style w:type="character" w:customStyle="1" w:styleId="BodyTextChar0">
    <w:name w:val="Body Text Char_0"/>
    <w:link w:val="BodyText0"/>
    <w:rsid w:val="005F0D08"/>
    <w:rPr>
      <w:sz w:val="24"/>
      <w:szCs w:val="24"/>
    </w:rPr>
  </w:style>
  <w:style w:type="paragraph" w:styleId="BodyText2">
    <w:name w:val="Body Text 2"/>
    <w:basedOn w:val="Normal0"/>
    <w:link w:val="BodyText2Char"/>
    <w:rsid w:val="000F2AB3"/>
    <w:pPr>
      <w:jc w:val="both"/>
    </w:pPr>
  </w:style>
  <w:style w:type="character" w:customStyle="1" w:styleId="BodyText2Char">
    <w:name w:val="Body Text 2 Char"/>
    <w:link w:val="BodyText2"/>
    <w:rsid w:val="000F2AB3"/>
    <w:rPr>
      <w:sz w:val="24"/>
      <w:szCs w:val="24"/>
    </w:rPr>
  </w:style>
  <w:style w:type="character" w:customStyle="1" w:styleId="Hyperlink0">
    <w:name w:val="Hyperlink_0"/>
    <w:rsid w:val="002C71F6"/>
    <w:rPr>
      <w:rFonts w:ascii="Times New Roman" w:eastAsia="Times New Roman" w:hAnsi="Times New Roman" w:cs="Times New Roman"/>
      <w:color w:val="0000F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mith@lglgroup.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tronpti.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glgroup.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97B51E1336E74411BF778605262B836D007EEA046AD9BFC344A6E5ABDBF17C8C7C" ma:contentTypeVersion="11" ma:contentTypeDescription="Content Type for Active Dislcosure Project Documents." ma:contentTypeScope="" ma:versionID="5a2bb4424efc6b8539f51c0c51517ab6">
  <xs:schema xmlns:xsd="http://www.w3.org/2001/XMLSchema" xmlns:xs="http://www.w3.org/2001/XMLSchema" xmlns:p="http://schemas.microsoft.com/office/2006/metadata/properties" xmlns:ns2="ff94f9da-de4e-4a2b-94ef-ad988e9ced1b" targetNamespace="http://schemas.microsoft.com/office/2006/metadata/properties" ma:root="true" ma:fieldsID="c3c93a7cd9b234b036252e910ef45b47" ns2:_="">
    <xs:import namespace="ff94f9da-de4e-4a2b-94ef-ad988e9ced1b"/>
    <xs:element name="properties">
      <xs:complexType>
        <xs:sequence>
          <xs:element name="documentManagement">
            <xs:complexType>
              <xs:all>
                <xs:element ref="ns2:Edgr_OriginalDocument" minOccurs="0"/>
                <xs:element ref="ns2:Edgr_ProjectName" minOccurs="0"/>
                <xs:element ref="ns2:Edgr_ProjectPortfolioName" minOccurs="0"/>
                <xs:element ref="ns2:Edgr_ProjectDescription" minOccurs="0"/>
                <xs:element ref="ns2:Edgr_ProjectTaxonomyID" minOccurs="0"/>
                <xs:element ref="ns2:Edgr_ProjectTaxonomyName" minOccurs="0"/>
                <xs:element ref="ns2:Edgr_ProjectDisplayName" minOccurs="0"/>
                <xs:element ref="ns2:Edgr_ProjectFilingDate" minOccurs="0"/>
                <xs:element ref="ns2:Edgr_ProjectIdentifier" minOccurs="0"/>
                <xs:element ref="ns2:Edgr_ProjectIdentifierScheme" minOccurs="0"/>
                <xs:element ref="ns2:Edgr_ProjectTradingSymbol" minOccurs="0"/>
                <xs:element ref="ns2:Edgr_ProjectNamespaceUri" minOccurs="0"/>
                <xs:element ref="ns2:Edgr_SynchronizedDateTime" minOccurs="0"/>
                <xs:element ref="ns2:Edgr_SplitDateTime" minOccurs="0"/>
                <xs:element ref="ns2:Edgr_IsSynchronizing" minOccurs="0"/>
                <xs:element ref="ns2:Edgr_IsSplitting" minOccurs="0"/>
                <xs:element ref="ns2:Edgr_ProjectStatus" minOccurs="0"/>
                <xs:element ref="ns2:Edgr_SortOrder" minOccurs="0"/>
                <xs:element ref="ns2:Edgr_DocSecFormType" minOccurs="0"/>
                <xs:element ref="ns2:Edgr_DocumentAndentityInfo" minOccurs="0"/>
                <xs:element ref="ns2:Edgr_SecCompliantFileName" minOccurs="0"/>
                <xs:element ref="ns2:Edgr_TaxonomyNamespace"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ff94f9da-de4e-4a2b-94ef-ad988e9ced1b" elementFormDefault="qualified">
    <xs:import namespace="http://schemas.microsoft.com/office/2006/documentManagement/types"/>
    <xs:import namespace="http://schemas.microsoft.com/office/infopath/2007/PartnerControls"/>
    <xs:element name="Edgr_OriginalDocument" ma:index="8" nillable="true" ma:displayName="Original Document" ma:internalName="Edgr_OriginalDocument" ma:readOnly="true">
      <xs:simpleType>
        <xs:restriction base="dms:Boolean"/>
      </xs:simpleType>
    </xs:element>
    <xs:element name="Edgr_ProjectName" ma:index="9" nillable="true" ma:displayName="Project Name" ma:internalName="Edgr_ProjectName" ma:readOnly="true">
      <xs:simpleType>
        <xs:restriction base="dms:Text"/>
      </xs:simpleType>
    </xs:element>
    <xs:element name="Edgr_ProjectPortfolioName" ma:index="10" nillable="true" ma:displayName="Folder Name" ma:internalName="Edgr_ProjectPortfolioName" ma:readOnly="true">
      <xs:simpleType>
        <xs:restriction base="dms:Text"/>
      </xs:simpleType>
    </xs:element>
    <xs:element name="Edgr_ProjectDescription" ma:index="11" nillable="true" ma:displayName="Project Description" ma:internalName="Edgr_ProjectDescription" ma:readOnly="true">
      <xs:simpleType>
        <xs:restriction base="dms:Text"/>
      </xs:simpleType>
    </xs:element>
    <xs:element name="Edgr_ProjectTaxonomyID" ma:index="12" nillable="true" ma:displayName="Taxonomy ID" ma:internalName="Edgr_ProjectTaxonomyID" ma:readOnly="true">
      <xs:simpleType>
        <xs:restriction base="dms:Text"/>
      </xs:simpleType>
    </xs:element>
    <xs:element name="Edgr_ProjectTaxonomyName" ma:index="13" nillable="true" ma:displayName="Taxonomy Description" ma:internalName="Edgr_ProjectTaxonomyName" ma:readOnly="true">
      <xs:simpleType>
        <xs:restriction base="dms:Text"/>
      </xs:simpleType>
    </xs:element>
    <xs:element name="Edgr_ProjectDisplayName" ma:index="14" nillable="true" ma:displayName="Display Name" ma:internalName="Edgr_ProjectDisplayName" ma:readOnly="true">
      <xs:simpleType>
        <xs:restriction base="dms:Text"/>
      </xs:simpleType>
    </xs:element>
    <xs:element name="Edgr_ProjectFilingDate" ma:index="15" nillable="true" ma:displayName="Filing Date" ma:internalName="Edgr_ProjectFilingDate" ma:readOnly="true">
      <xs:simpleType>
        <xs:restriction base="dms:DateTime"/>
      </xs:simpleType>
    </xs:element>
    <xs:element name="Edgr_ProjectIdentifier" ma:index="16" nillable="true" ma:displayName="Primary Entity Identifier (CIK, etc.)" ma:internalName="Edgr_ProjectIdentifier" ma:readOnly="true">
      <xs:simpleType>
        <xs:restriction base="dms:Text"/>
      </xs:simpleType>
    </xs:element>
    <xs:element name="Edgr_ProjectIdentifierScheme" ma:index="17" nillable="true" ma:displayName="Identifier Scheme" ma:internalName="Edgr_ProjectIdentifierScheme" ma:readOnly="true">
      <xs:complexType>
        <xs:complexContent>
          <xs:extension base="dms:URL">
            <xs:sequence>
              <xs:element name="Url" type="dms:ValidUrl" minOccurs="0" nillable="true"/>
              <xs:element name="Description" type="xsd:string" nillable="true"/>
            </xs:sequence>
          </xs:extension>
        </xs:complexContent>
      </xs:complexType>
    </xs:element>
    <xs:element name="Edgr_ProjectTradingSymbol" ma:index="18" nillable="true" ma:displayName="Trading Symbol" ma:internalName="Edgr_ProjectTradingSymbol" ma:readOnly="true">
      <xs:simpleType>
        <xs:restriction base="dms:Text"/>
      </xs:simpleType>
    </xs:element>
    <xs:element name="Edgr_ProjectNamespaceUri" ma:index="19" nillable="true" ma:displayName="Company URL (or namespace URI)" ma:internalName="Edgr_ProjectNamespaceUri" ma:readOnly="true">
      <xs:complexType>
        <xs:complexContent>
          <xs:extension base="dms:URL">
            <xs:sequence>
              <xs:element name="Url" type="dms:ValidUrl" minOccurs="0" nillable="true"/>
              <xs:element name="Description" type="xsd:string" nillable="true"/>
            </xs:sequence>
          </xs:extension>
        </xs:complexContent>
      </xs:complexType>
    </xs:element>
    <xs:element name="Edgr_SynchronizedDateTime" ma:index="20" nillable="true" ma:displayName="Synchronized Date Time" ma:internalName="Edgr_SynchronizedDateTime" ma:readOnly="true">
      <xs:simpleType>
        <xs:restriction base="dms:DateTime"/>
      </xs:simpleType>
    </xs:element>
    <xs:element name="Edgr_SplitDateTime" ma:index="21" nillable="true" ma:displayName="Split Date Time" ma:internalName="Edgr_SplitDateTime" ma:readOnly="true">
      <xs:simpleType>
        <xs:restriction base="dms:DateTime"/>
      </xs:simpleType>
    </xs:element>
    <xs:element name="Edgr_IsSynchronizing" ma:index="22" nillable="true" ma:displayName="Is Synchronizing" ma:default="1" ma:internalName="Edgr_IsSynchronizing">
      <xs:simpleType>
        <xs:restriction base="dms:Boolean"/>
      </xs:simpleType>
    </xs:element>
    <xs:element name="Edgr_IsSplitting" ma:index="23" nillable="true" ma:displayName="Is Splitting" ma:default="1" ma:internalName="Edgr_IsSplitting">
      <xs:simpleType>
        <xs:restriction base="dms:Boolean"/>
      </xs:simpleType>
    </xs:element>
    <xs:element name="Edgr_ProjectStatus" ma:index="24" nillable="true" ma:displayName="Project Status" ma:internalName="Edgr_ProjectStatus" ma:readOnly="true">
      <xs:simpleType>
        <xs:restriction base="dms:Text"/>
      </xs:simpleType>
    </xs:element>
    <xs:element name="Edgr_SortOrder" ma:index="25" nillable="true" ma:displayName="Sort Order" ma:internalName="Edgr_SortOrder" ma:readOnly="true">
      <xs:simpleType>
        <xs:restriction base="dms:Text"/>
      </xs:simpleType>
    </xs:element>
    <xs:element name="Edgr_DocSecFormType" ma:index="26" nillable="true" ma:displayName="Exhibit Type" ma:internalName="Edgr_DocSecFormType" ma:readOnly="true">
      <xs:simpleType>
        <xs:restriction base="dms:Unknown"/>
      </xs:simpleType>
    </xs:element>
    <xs:element name="Edgr_DocumentAndentityInfo" ma:index="27" nillable="true" ma:displayName="Document And Entity Information" ma:internalName="Edgr_DocumentAndentityInfo" ma:readOnly="true">
      <xs:simpleType>
        <xs:restriction base="dms:Text"/>
      </xs:simpleType>
    </xs:element>
    <xs:element name="Edgr_SecCompliantFileName" ma:index="28" nillable="true" ma:displayName="SEC Compliant File Name" ma:internalName="Edgr_SecCompliantFileName" ma:readOnly="true">
      <xs:simpleType>
        <xs:restriction base="dms:Text"/>
      </xs:simpleType>
    </xs:element>
    <xs:element name="Edgr_TaxonomyNamespace" ma:index="29" nillable="true" ma:displayName="Taxonomy Namespace" ma:default="http://fasb.org/us-gaap/2012-01-31" ma:internalName="Edgr_TaxonomyNamespace" ma:readOnly="true">
      <xs:simpleType>
        <xs:restriction base="dms:Text"/>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gr_IsSplitting xmlns="ff94f9da-de4e-4a2b-94ef-ad988e9ced1b">false</Edgr_IsSplitting>
    <Edgr_IsSynchronizing xmlns="ff94f9da-de4e-4a2b-94ef-ad988e9ced1b">false</Edgr_IsSynchronizing>
    <Edgr_ProjectTaxonomyName xmlns="ff94f9da-de4e-4a2b-94ef-ad988e9ced1b">2021 US-GAAP Filing Template</Edgr_ProjectTaxonomyName>
    <Edgr_ProjectTradingSymbol xmlns="ff94f9da-de4e-4a2b-94ef-ad988e9ced1b">LGL</Edgr_ProjectTradingSymbol>
    <Edgr_SplitDateTime xmlns="ff94f9da-de4e-4a2b-94ef-ad988e9ced1b">2022-10-31T15:13:26+00:00</Edgr_SplitDateTime>
    <Edgr_ProjectIdentifierScheme xmlns="ff94f9da-de4e-4a2b-94ef-ad988e9ced1b">
      <Url>http://www.sec.gov/CIK</Url>
      <Description>http://www.sec.gov/CIK</Description>
    </Edgr_ProjectIdentifierScheme>
    <Edgr_TaxonomyNamespace xmlns="ff94f9da-de4e-4a2b-94ef-ad988e9ced1b">http://fasb.org/us-gaap/2021-01-31</Edgr_TaxonomyNamespace>
    <Edgr_ProjectDescription xmlns="ff94f9da-de4e-4a2b-94ef-ad988e9ced1b">8-K</Edgr_ProjectDescription>
    <Edgr_ProjectDisplayName xmlns="ff94f9da-de4e-4a2b-94ef-ad988e9ced1b">611dbc4641ce4aba8193e20b23e99168</Edgr_ProjectDisplayName>
    <Edgr_ProjectIdentifier xmlns="ff94f9da-de4e-4a2b-94ef-ad988e9ced1b">611dbc4641ce4aba8193e20b23e99168</Edgr_ProjectIdentifier>
    <Edgr_ProjectTaxonomyID xmlns="ff94f9da-de4e-4a2b-94ef-ad988e9ced1b">521d9e38-94d4-468a-84d2-fd8948db6380</Edgr_ProjectTaxonomyID>
    <Edgr_DocSecFormType xmlns="ff94f9da-de4e-4a2b-94ef-ad988e9ced1b">8-K</Edgr_DocSecFormType>
    <Edgr_OriginalDocument xmlns="ff94f9da-de4e-4a2b-94ef-ad988e9ced1b">true</Edgr_OriginalDocument>
    <Edgr_ProjectName xmlns="ff94f9da-de4e-4a2b-94ef-ad988e9ced1b">611dbc4641ce4aba8193e20b23e99168</Edgr_ProjectName>
    <Edgr_ProjectFilingDate xmlns="ff94f9da-de4e-4a2b-94ef-ad988e9ced1b">2022-09-30T08:00:00+00:00</Edgr_ProjectFilingDate>
    <Edgr_ProjectPortfolioName xmlns="ff94f9da-de4e-4a2b-94ef-ad988e9ced1b">2017/CurrentReports</Edgr_ProjectPortfolioName>
    <Edgr_ProjectNamespaceUri xmlns="ff94f9da-de4e-4a2b-94ef-ad988e9ced1b">
      <Url>http://www.lglgroup.com</Url>
      <Description>http://www.lglgroup.com</Description>
    </Edgr_ProjectNamespaceUri>
    <Edgr_SynchronizedDateTime xmlns="ff94f9da-de4e-4a2b-94ef-ad988e9ced1b">2022-11-11T19:23:15+00:00</Edgr_SynchronizedDateTime>
    <Edgr_ProjectStatus xmlns="ff94f9da-de4e-4a2b-94ef-ad988e9ced1b">Updating SyncDateTime and IsSync fields in project document has been successfully done</Edgr_ProjectStatus>
    <Edgr_SortOrder xmlns="ff94f9da-de4e-4a2b-94ef-ad988e9ced1b">0000000000</Edgr_SortOrder>
  </documentManagement>
</p:properties>
</file>

<file path=customXml/item4.xml><?xml version="1.0" encoding="utf-8"?>
<ActiveLinkData xmlns:i="http://www.w3.org/2001/XMLSchema-instance" xmlns="http://www.rrdonnelley.com/programs/activelink/data">
  <CreatedApplicationName>DFS ActiveLink Word Add-in</CreatedApplicationName>
  <CreatedApplicationVersion>2.5.4.2800</CreatedApplicationVersion>
  <CreatedBy>MTRONPTI\jtivy</CreatedBy>
  <CreatedDate>2018-03-16T16:59:51.7404453Z</CreatedDate>
  <ModifiedApplicationName>DFS ActiveLink Word Add-in</ModifiedApplicationName>
  <ModifiedApplicationVersion>2.5.9.3</ModifiedApplicationVersion>
  <ModifiedBy>MTRONPTI\jtivy</ModifiedBy>
  <LastSavedDate>2022-11-14T20:51:54.9045479Z</LastSavedDate>
  <Default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 i:nil="true"/>
  </DefaultPreferences>
  <ContentControls/>
  <PreferredPreferences>
    <Preferences i:type="NoFormatPreferences">
      <Name>No Format</Name>
      <Order>0</Order>
    </Preferences>
    <Preferences i:type="NumberPreferences">
      <Name>Number</Name>
      <Order>1</Order>
      <Prefix/>
      <Suffix/>
      <ExcelScaleApplied>1</ExcelScaleApplied>
      <DecimalPlaces>2</DecimalPlaces>
      <IsDashForValuesZero>false</IsDashForValuesZero>
      <IsScaleCapitalized>false</IsScaleCapitalized>
      <IsThousandSeparator>false</IsThousandSeparator>
      <NegativeNumberFormat>ShowAsPositive</NegativeNumberFormat>
      <Scale>1</Scale>
    </Preferences>
    <Preferences i:type="CurrencyPreferences">
      <Name>Currency</Name>
      <Order>2</Order>
      <Prefix/>
      <Suffix/>
      <ExcelScaleApplied>1</ExcelScaleApplied>
      <DecimalPlaces>2</DecimalPlaces>
      <IsDashForValuesZero>false</IsDashForValuesZero>
      <IsScaleCapitalized>false</IsScaleCapitalized>
      <IsThousandSeparator>true</IsThousandSeparator>
      <NegativeNumberFormat>ShowAsPositive</NegativeNumberFormat>
      <Scale>1</Scale>
      <Symbol>USD</Symbol>
    </Preferences>
    <Preferences i:type="PercentagePreferences">
      <Name>Percentage</Name>
      <Order>3</Order>
      <Prefix/>
      <Suffix/>
      <DecimalPlaces>2</DecimalPlaces>
      <IsDashForValuesZero>false</IsDashForValuesZero>
      <NegativeNumberFormat>ShowAsPositive</NegativeNumberFormat>
    </Preferences>
    <Preferences i:type="DatePreferences">
      <Name>Date</Name>
      <Order>4</Order>
      <Prefix/>
      <Suffix/>
      <Format>MMMM dd, yyyy</Format>
    </Preferences>
    <Preferences i:type="ParagraphPreferences">
      <Name>Paragraph</Name>
      <Order>5</Order>
      <Alignment>Left</Alignment>
      <ExactLineSpacingValue>12</ExactLineSpacingValue>
      <FirstLineIndent>0</FirstLineIndent>
      <KeepLinesTogether>false</KeepLinesTogether>
      <KeepWithNext>false</KeepWithNext>
      <LeftIndent>0</LeftIndent>
      <LineSpacing>Single</LineSpacing>
      <MultipleLineSpacingValue>0.5</MultipleLineSpacingValue>
      <RightIndent>0</RightIndent>
      <SpacingAfter>0</SpacingAfter>
      <SpacingBefore>0</SpacingBefore>
    </Preferences>
  </PreferredPreferences>
  <RecentSuffixes xmlns:d2p1="http://schemas.microsoft.com/2003/10/Serialization/Arrays"/>
  <RecentPrefixes xmlns:d2p1="http://schemas.microsoft.com/2003/10/Serialization/Arrays"/>
</ActiveLinkData>
</file>

<file path=customXml/itemProps1.xml><?xml version="1.0" encoding="utf-8"?>
<ds:datastoreItem xmlns:ds="http://schemas.openxmlformats.org/officeDocument/2006/customXml" ds:itemID="{9A7E1DFE-BBB9-4E20-B731-E1E3F681A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4f9da-de4e-4a2b-94ef-ad988e9ce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09D4A-0E46-4247-A100-A3644DB9647C}">
  <ds:schemaRefs>
    <ds:schemaRef ds:uri="http://schemas.microsoft.com/sharepoint/v3/contenttype/forms"/>
  </ds:schemaRefs>
</ds:datastoreItem>
</file>

<file path=customXml/itemProps3.xml><?xml version="1.0" encoding="utf-8"?>
<ds:datastoreItem xmlns:ds="http://schemas.openxmlformats.org/officeDocument/2006/customXml" ds:itemID="{DC8F7912-DF1F-4D75-A6D0-447924496CF8}">
  <ds:schemaRefs>
    <ds:schemaRef ds:uri="http://schemas.microsoft.com/office/2006/metadata/properties"/>
    <ds:schemaRef ds:uri="http://schemas.microsoft.com/office/infopath/2007/PartnerControls"/>
    <ds:schemaRef ds:uri="ff94f9da-de4e-4a2b-94ef-ad988e9ced1b"/>
  </ds:schemaRefs>
</ds:datastoreItem>
</file>

<file path=customXml/itemProps4.xml><?xml version="1.0" encoding="utf-8"?>
<ds:datastoreItem xmlns:ds="http://schemas.openxmlformats.org/officeDocument/2006/customXml" ds:itemID="{F3705AE6-7D94-4A71-B74C-9E08DE945A23}">
  <ds:schemaRefs>
    <ds:schemaRef ds:uri="http://www.rrdonnelley.com/programs/activelink/data"/>
    <ds:schemaRef ds:uri="http://schemas.microsoft.com/2003/10/Serialization/Array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3596</Words>
  <Characters>20501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RR Donnelley</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Maples</dc:creator>
  <cp:lastModifiedBy>James Tivy</cp:lastModifiedBy>
  <cp:revision>2</cp:revision>
  <dcterms:created xsi:type="dcterms:W3CDTF">2022-11-14T20:52:00Z</dcterms:created>
  <dcterms:modified xsi:type="dcterms:W3CDTF">2022-11-14T20:52:00Z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0x01010097B51E1336E74411BF778605262B836D007EEA046AD9BFC344A6E5ABDBF17C8C7C</vt:lpwstr>
  </property>
  <property fmtid="{D5CDD505-2E9C-101B-9397-08002B2CF9AE}" pid="3" name="Edgr_DocumentInternalMeta">
    <vt:lpwstr/>
  </property>
</Properties>
</file>